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160" w:line="240" w:lineRule="auto"/>
        <w:jc w:val="center"/>
      </w:pPr>
      <w:r>
        <w:rPr>
          <w:b/>
          <w:sz w:val="36"/>
          <w:rFonts w:eastAsia="Microsoft YaHei" w:ascii="Calibri" w:hAnsi="Calibri"/>
        </w:rPr>
        <w:t>波带片设计</w:t>
      </w:r>
    </w:p>
    <w:p>
      <w:pPr>
        <w:spacing w:before="80" w:after="80" w:line="288" w:lineRule="auto"/>
        <w:jc w:val="left"/>
      </w:pPr>
      <w:r>
        <w:rPr>
          <w:b/>
          <w:sz w:val="28"/>
          <w:rFonts w:eastAsia="Microsoft YaHei" w:ascii="Calibri" w:hAnsi="Calibri"/>
        </w:rPr>
        <w:t>一、设计目标与实验匹配</w:t>
      </w:r>
    </w:p>
    <w:p>
      <w:pPr>
        <w:spacing w:before="0" w:after="80" w:line="324" w:lineRule="auto"/>
        <w:ind w:firstLine="420"/>
      </w:pPr>
      <w:r>
        <w:rPr>
          <w:sz w:val="21"/>
          <w:rFonts w:eastAsia="Microsoft YaHei" w:ascii="Calibri" w:hAnsi="Calibri"/>
        </w:rPr>
        <w:t>为保证二值振幅型样片能够直接用于“已有二值相位螺旋菲涅尔波带片光路实验方案”中的单焦点、双焦点和简化成像验证，本设计保持与现有实验平台一致的主参数：工作波长 λ = 632.8 nm（He–Ne 激光），单焦点焦距 f = 100 mm，双焦点焦距 f1 = 100 mm、f2 = 150 mm，拓扑荷 l = 1，有效口径 D = 4.5 mm（半径 R = 2.25 mm）。这样在实验平台上只需更换样片，不必改动主光路、相机扫描区间和焦点判据。</w:t>
      </w:r>
    </w:p>
    <w:p>
      <w:pPr>
        <w:spacing w:before="0" w:after="80" w:line="324" w:lineRule="auto"/>
        <w:ind w:firstLine="420"/>
      </w:pPr>
      <w:r>
        <w:rPr>
          <w:sz w:val="21"/>
          <w:rFonts w:eastAsia="Microsoft YaHei" w:ascii="Calibri" w:hAnsi="Calibri"/>
        </w:rPr>
        <w:t>本设计采用二值振幅型结构：黑色区域为遮光区，白色区域为透光区。与二值相位型相比，其一阶衍射效率会降低，但焦点位置、环形焦斑和中心暗核的验证逻辑不变，因此仍可完成单焦点涡旋光场验证、双焦点轴向扫描验证，以及简化成像演示。</w:t>
      </w:r>
    </w:p>
    <w:p>
      <w:pPr>
        <w:spacing w:before="0" w:after="80" w:line="324" w:lineRule="auto"/>
        <w:ind w:firstLine="420"/>
      </w:pPr>
      <w:r>
        <w:rPr>
          <w:sz w:val="21"/>
          <w:rFonts w:eastAsia="Microsoft YaHei" w:ascii="Calibri" w:hAnsi="Calibri"/>
        </w:rPr>
        <w:t>菲林输出按照你提供的工艺指标执行：黑色区不透光，光学密度 OD ≥ 3.8；线条边缘光滑无锯齿；白区高透光；基材厚度 0.1 mm PET；必须输出为 SVG 矢量文件；尺寸精度按 0.001 mm 级控制；制版分辨率按 4000 dpi 工艺执行。下面给出的 MATLAB 代码采用毫米物理尺寸写出 SVG，并以较高角向采样保证边界平滑。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8"/>
        <w:gridCol w:w="3008"/>
        <w:gridCol w:w="3008"/>
      </w:tblGrid>
      <w:tr>
        <w:tc>
          <w:tcPr>
            <w:tcW w:type="dxa" w:w="3008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  <w:rFonts w:eastAsia="Microsoft YaHei" w:ascii="Calibri" w:hAnsi="Calibri"/>
              </w:rPr>
              <w:t>项目</w:t>
            </w:r>
          </w:p>
        </w:tc>
        <w:tc>
          <w:tcPr>
            <w:tcW w:type="dxa" w:w="3008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  <w:rFonts w:eastAsia="Microsoft YaHei" w:ascii="Calibri" w:hAnsi="Calibri"/>
              </w:rPr>
              <w:t>数值</w:t>
            </w:r>
          </w:p>
        </w:tc>
        <w:tc>
          <w:tcPr>
            <w:tcW w:type="dxa" w:w="3008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  <w:rFonts w:eastAsia="Microsoft YaHei" w:ascii="Calibri" w:hAnsi="Calibri"/>
              </w:rPr>
              <w:t>说明</w:t>
            </w:r>
          </w:p>
        </w:tc>
      </w:tr>
      <w:tr>
        <w:tc>
          <w:tcPr>
            <w:tcW w:type="dxa" w:w="3008"/>
            <w:vAlign w:val="center"/>
          </w:tcPr>
          <w:p>
            <w:r/>
            <w:r>
              <w:rPr>
                <w:b w:val="0"/>
                <w:sz w:val="20"/>
                <w:rFonts w:eastAsia="Microsoft YaHei" w:ascii="Calibri" w:hAnsi="Calibri"/>
              </w:rPr>
              <w:t>设计波长</w:t>
            </w:r>
          </w:p>
        </w:tc>
        <w:tc>
          <w:tcPr>
            <w:tcW w:type="dxa" w:w="3008"/>
            <w:vAlign w:val="center"/>
          </w:tcPr>
          <w:p>
            <w:r/>
            <w:r>
              <w:rPr>
                <w:b w:val="0"/>
                <w:sz w:val="20"/>
                <w:rFonts w:eastAsia="Microsoft YaHei" w:ascii="Calibri" w:hAnsi="Calibri"/>
              </w:rPr>
              <w:t>632.8 nm</w:t>
            </w:r>
          </w:p>
        </w:tc>
        <w:tc>
          <w:tcPr>
            <w:tcW w:type="dxa" w:w="3008"/>
            <w:vAlign w:val="center"/>
          </w:tcPr>
          <w:p>
            <w:r/>
            <w:r>
              <w:rPr>
                <w:b w:val="0"/>
                <w:sz w:val="20"/>
                <w:rFonts w:eastAsia="Microsoft YaHei" w:ascii="Calibri" w:hAnsi="Calibri"/>
              </w:rPr>
              <w:t>与 He–Ne 激光实验平台一致</w:t>
            </w:r>
          </w:p>
        </w:tc>
      </w:tr>
      <w:tr>
        <w:tc>
          <w:tcPr>
            <w:tcW w:type="dxa" w:w="3008"/>
            <w:vAlign w:val="center"/>
          </w:tcPr>
          <w:p>
            <w:r/>
            <w:r>
              <w:rPr>
                <w:b w:val="0"/>
                <w:sz w:val="20"/>
                <w:rFonts w:eastAsia="Microsoft YaHei" w:ascii="Calibri" w:hAnsi="Calibri"/>
              </w:rPr>
              <w:t>单焦点样片</w:t>
            </w:r>
          </w:p>
        </w:tc>
        <w:tc>
          <w:tcPr>
            <w:tcW w:type="dxa" w:w="3008"/>
            <w:vAlign w:val="center"/>
          </w:tcPr>
          <w:p>
            <w:r/>
            <w:r>
              <w:rPr>
                <w:b w:val="0"/>
                <w:sz w:val="20"/>
                <w:rFonts w:eastAsia="Microsoft YaHei" w:ascii="Calibri" w:hAnsi="Calibri"/>
              </w:rPr>
              <w:t>f = 100 mm，l = 1</w:t>
            </w:r>
          </w:p>
        </w:tc>
        <w:tc>
          <w:tcPr>
            <w:tcW w:type="dxa" w:w="3008"/>
            <w:vAlign w:val="center"/>
          </w:tcPr>
          <w:p>
            <w:r/>
            <w:r>
              <w:rPr>
                <w:b w:val="0"/>
                <w:sz w:val="20"/>
                <w:rFonts w:eastAsia="Microsoft YaHei" w:ascii="Calibri" w:hAnsi="Calibri"/>
              </w:rPr>
              <w:t>用于单焦点涡旋焦斑实验</w:t>
            </w:r>
          </w:p>
        </w:tc>
      </w:tr>
      <w:tr>
        <w:tc>
          <w:tcPr>
            <w:tcW w:type="dxa" w:w="3008"/>
            <w:vAlign w:val="center"/>
          </w:tcPr>
          <w:p>
            <w:r/>
            <w:r>
              <w:rPr>
                <w:b w:val="0"/>
                <w:sz w:val="20"/>
                <w:rFonts w:eastAsia="Microsoft YaHei" w:ascii="Calibri" w:hAnsi="Calibri"/>
              </w:rPr>
              <w:t>双焦点样片</w:t>
            </w:r>
          </w:p>
        </w:tc>
        <w:tc>
          <w:tcPr>
            <w:tcW w:type="dxa" w:w="3008"/>
            <w:vAlign w:val="center"/>
          </w:tcPr>
          <w:p>
            <w:r/>
            <w:r>
              <w:rPr>
                <w:b w:val="0"/>
                <w:sz w:val="20"/>
                <w:rFonts w:eastAsia="Microsoft YaHei" w:ascii="Calibri" w:hAnsi="Calibri"/>
              </w:rPr>
              <w:t>f1 = 100 mm，f2 = 150 mm，l = 1</w:t>
            </w:r>
          </w:p>
        </w:tc>
        <w:tc>
          <w:tcPr>
            <w:tcW w:type="dxa" w:w="3008"/>
            <w:vAlign w:val="center"/>
          </w:tcPr>
          <w:p>
            <w:r/>
            <w:r>
              <w:rPr>
                <w:b w:val="0"/>
                <w:sz w:val="20"/>
                <w:rFonts w:eastAsia="Microsoft YaHei" w:ascii="Calibri" w:hAnsi="Calibri"/>
              </w:rPr>
              <w:t>用于双焦点轴向分离实验</w:t>
            </w:r>
          </w:p>
        </w:tc>
      </w:tr>
      <w:tr>
        <w:tc>
          <w:tcPr>
            <w:tcW w:type="dxa" w:w="3008"/>
            <w:vAlign w:val="center"/>
          </w:tcPr>
          <w:p>
            <w:r/>
            <w:r>
              <w:rPr>
                <w:b w:val="0"/>
                <w:sz w:val="20"/>
                <w:rFonts w:eastAsia="Microsoft YaHei" w:ascii="Calibri" w:hAnsi="Calibri"/>
              </w:rPr>
              <w:t>有效口径</w:t>
            </w:r>
          </w:p>
        </w:tc>
        <w:tc>
          <w:tcPr>
            <w:tcW w:type="dxa" w:w="3008"/>
            <w:vAlign w:val="center"/>
          </w:tcPr>
          <w:p>
            <w:r/>
            <w:r>
              <w:rPr>
                <w:b w:val="0"/>
                <w:sz w:val="20"/>
                <w:rFonts w:eastAsia="Microsoft YaHei" w:ascii="Calibri" w:hAnsi="Calibri"/>
              </w:rPr>
              <w:t>D = 4.5 mm</w:t>
            </w:r>
          </w:p>
        </w:tc>
        <w:tc>
          <w:tcPr>
            <w:tcW w:type="dxa" w:w="3008"/>
            <w:vAlign w:val="center"/>
          </w:tcPr>
          <w:p>
            <w:r/>
            <w:r>
              <w:rPr>
                <w:b w:val="0"/>
                <w:sz w:val="20"/>
                <w:rFonts w:eastAsia="Microsoft YaHei" w:ascii="Calibri" w:hAnsi="Calibri"/>
              </w:rPr>
              <w:t>对应实验方案中的样片有效孔径</w:t>
            </w:r>
          </w:p>
        </w:tc>
      </w:tr>
      <w:tr>
        <w:tc>
          <w:tcPr>
            <w:tcW w:type="dxa" w:w="3008"/>
            <w:vAlign w:val="center"/>
          </w:tcPr>
          <w:p>
            <w:r/>
            <w:r>
              <w:rPr>
                <w:b w:val="0"/>
                <w:sz w:val="20"/>
                <w:rFonts w:eastAsia="Microsoft YaHei" w:ascii="Calibri" w:hAnsi="Calibri"/>
              </w:rPr>
              <w:t>菲林基材</w:t>
            </w:r>
          </w:p>
        </w:tc>
        <w:tc>
          <w:tcPr>
            <w:tcW w:type="dxa" w:w="3008"/>
            <w:vAlign w:val="center"/>
          </w:tcPr>
          <w:p>
            <w:r/>
            <w:r>
              <w:rPr>
                <w:b w:val="0"/>
                <w:sz w:val="20"/>
                <w:rFonts w:eastAsia="Microsoft YaHei" w:ascii="Calibri" w:hAnsi="Calibri"/>
              </w:rPr>
              <w:t>0.1 mm PET</w:t>
            </w:r>
          </w:p>
        </w:tc>
        <w:tc>
          <w:tcPr>
            <w:tcW w:type="dxa" w:w="3008"/>
            <w:vAlign w:val="center"/>
          </w:tcPr>
          <w:p>
            <w:r/>
            <w:r>
              <w:rPr>
                <w:b w:val="0"/>
                <w:sz w:val="20"/>
                <w:rFonts w:eastAsia="Microsoft YaHei" w:ascii="Calibri" w:hAnsi="Calibri"/>
              </w:rPr>
              <w:t>满足外协输出要求</w:t>
            </w:r>
          </w:p>
        </w:tc>
      </w:tr>
      <w:tr>
        <w:tc>
          <w:tcPr>
            <w:tcW w:type="dxa" w:w="3008"/>
            <w:vAlign w:val="center"/>
          </w:tcPr>
          <w:p>
            <w:r/>
            <w:r>
              <w:rPr>
                <w:b w:val="0"/>
                <w:sz w:val="20"/>
                <w:rFonts w:eastAsia="Microsoft YaHei" w:ascii="Calibri" w:hAnsi="Calibri"/>
              </w:rPr>
              <w:t>输出格式</w:t>
            </w:r>
          </w:p>
        </w:tc>
        <w:tc>
          <w:tcPr>
            <w:tcW w:type="dxa" w:w="3008"/>
            <w:vAlign w:val="center"/>
          </w:tcPr>
          <w:p>
            <w:r/>
            <w:r>
              <w:rPr>
                <w:b w:val="0"/>
                <w:sz w:val="20"/>
                <w:rFonts w:eastAsia="Microsoft YaHei" w:ascii="Calibri" w:hAnsi="Calibri"/>
              </w:rPr>
              <w:t>SVG 矢量</w:t>
            </w:r>
          </w:p>
        </w:tc>
        <w:tc>
          <w:tcPr>
            <w:tcW w:type="dxa" w:w="3008"/>
            <w:vAlign w:val="center"/>
          </w:tcPr>
          <w:p>
            <w:r/>
            <w:r>
              <w:rPr>
                <w:b w:val="0"/>
                <w:sz w:val="20"/>
                <w:rFonts w:eastAsia="Microsoft YaHei" w:ascii="Calibri" w:hAnsi="Calibri"/>
              </w:rPr>
              <w:t>黑色遮光、白色透光，禁止二次位图化</w:t>
            </w:r>
          </w:p>
        </w:tc>
      </w:tr>
    </w:tbl>
    <w:p>
      <w:pPr>
        <w:spacing w:before="80" w:after="80" w:line="288" w:lineRule="auto"/>
        <w:jc w:val="left"/>
      </w:pPr>
      <w:r>
        <w:rPr>
          <w:b/>
          <w:sz w:val="28"/>
          <w:rFonts w:eastAsia="Microsoft YaHei" w:ascii="Calibri" w:hAnsi="Calibri"/>
        </w:rPr>
        <w:t>二、单焦点二值振幅型螺旋菲涅尔波带片设计</w:t>
      </w:r>
    </w:p>
    <w:p>
      <w:pPr>
        <w:spacing w:before="0" w:after="80" w:line="324" w:lineRule="auto"/>
        <w:ind w:firstLine="420"/>
      </w:pPr>
      <w:r>
        <w:rPr>
          <w:sz w:val="21"/>
          <w:rFonts w:eastAsia="Microsoft YaHei" w:ascii="Calibri" w:hAnsi="Calibri"/>
        </w:rPr>
        <w:t>单焦点二值振幅型螺旋菲涅尔波带片采用如下二值化表达：</w:t>
      </w:r>
    </w:p>
    <w:p>
      <w:pPr>
        <w:spacing w:before="0" w:after="80" w:line="324" w:lineRule="auto"/>
      </w:pPr>
      <w:r>
        <w:rPr>
          <w:sz w:val="21"/>
          <w:rFonts w:eastAsia="Microsoft YaHei" w:ascii="Calibri" w:hAnsi="Calibri"/>
        </w:rPr>
        <w:t>ψ(r, θ) = l·θ + π·r² / (λ·f)，T(r, θ) = 1（当 cos[ψ(r, θ)] ≥ 0 且 r ≤ R 时），否则 T(r, θ) = 0。</w:t>
      </w:r>
    </w:p>
    <w:p>
      <w:pPr>
        <w:spacing w:before="0" w:after="80" w:line="324" w:lineRule="auto"/>
        <w:ind w:firstLine="420"/>
      </w:pPr>
      <w:r>
        <w:rPr>
          <w:sz w:val="21"/>
          <w:rFonts w:eastAsia="Microsoft YaHei" w:ascii="Calibri" w:hAnsi="Calibri"/>
        </w:rPr>
        <w:t>其中 T = 1 对应白色透光区，T = 0 对应黑色遮光区。区带边界满足 cos[ψ(r, θ)] = 0，因此边界曲线可写成 r_n(θ) = sqrt{ (λ·f/π)·[(n + 1/2)π − l·θ] }。在代码中不直接栅格化成位图，而是沿角向离散后把每一段透明区写成 SVG 多边形，从而保持矢量输出。</w:t>
      </w:r>
    </w:p>
    <w:p>
      <w:pPr>
        <w:spacing w:before="60" w:after="40" w:line="240" w:lineRule="auto"/>
      </w:pPr>
      <w:r>
        <w:rPr>
          <w:b/>
          <w:sz w:val="21"/>
          <w:rFonts w:eastAsia="Microsoft YaHei" w:ascii="Calibri" w:hAnsi="Calibri"/>
        </w:rPr>
        <w:t>代码 1：design_single_amplitude_spiral_fzp_svg.m</w:t>
      </w:r>
    </w:p>
    <w:p>
      <w:pPr>
        <w:spacing w:before="0" w:after="80" w:line="240" w:lineRule="auto"/>
        <w:ind w:left="198" w:right="85"/>
        <w:shd w:val="clear" w:color="auto" w:fill="F3F4F6"/>
      </w:pPr>
      <w:r>
        <w:rPr>
          <w:rFonts w:ascii="Consolas" w:hAnsi="Consolas" w:eastAsia="Consolas"/>
          <w:sz w:val="17"/>
        </w:rPr>
        <w:t>clc; clear; close all;</w:t>
        <w:br/>
        <w:br/>
        <w:t>lambda = 632.8e-9;</w:t>
        <w:br/>
        <w:t>f = 100e-3;</w:t>
        <w:br/>
        <w:t>l = 1;</w:t>
        <w:br/>
        <w:t>D = 4.5e-3;</w:t>
        <w:br/>
        <w:t>margin = 0.5e-3;</w:t>
        <w:br/>
        <w:t>nThetaTotal = 7200;</w:t>
        <w:br/>
        <w:br/>
        <w:t>svgName = 'single_focus_spiral_fzp.svg';</w:t>
        <w:br/>
        <w:br/>
        <w:t>polys = buildSpiralPolys( ...</w:t>
        <w:br/>
        <w:t xml:space="preserve">    lambda, f, l, D, 0, 2*pi, nThetaTotal);</w:t>
        <w:br/>
        <w:br/>
        <w:t>writeZoneplateSvg(svgName, polys, D, margin);</w:t>
        <w:br/>
        <w:br/>
        <w:t>fprintf('已输出: %s\n', svgName);</w:t>
      </w:r>
    </w:p>
    <w:p>
      <w:pPr>
        <w:spacing w:before="80" w:after="80" w:line="288" w:lineRule="auto"/>
        <w:jc w:val="left"/>
      </w:pPr>
      <w:r>
        <w:rPr>
          <w:b/>
          <w:sz w:val="28"/>
          <w:rFonts w:eastAsia="Microsoft YaHei" w:ascii="Calibri" w:hAnsi="Calibri"/>
        </w:rPr>
        <w:t>三、双焦点二值振幅型复合螺旋菲涅尔波带片设计</w:t>
      </w:r>
    </w:p>
    <w:p>
      <w:pPr>
        <w:spacing w:before="0" w:after="80" w:line="324" w:lineRule="auto"/>
        <w:ind w:firstLine="420"/>
      </w:pPr>
      <w:r>
        <w:rPr>
          <w:sz w:val="21"/>
          <w:rFonts w:eastAsia="Microsoft YaHei" w:ascii="Calibri" w:hAnsi="Calibri"/>
        </w:rPr>
        <w:t>双焦点样片的目标是在 z ≈ 100 mm 和 z ≈ 150 mm 两处都形成可分辨的涡旋焦场。为保证结构简单、遮光关系清晰、SVG 输出容易控制，这里采用“扇区交替复合”的二值振幅设计：把整个圆孔分成若干个扇区，相邻扇区交替使用 f1 = 100 mm 和 f2 = 150 mm 的单焦点螺旋波带片图样。这样一个样片中同时写入两个焦距的衍射信息，并且通过 1:1 扇区占空比得到较均衡的双焦点演示效果。</w:t>
      </w:r>
    </w:p>
    <w:p>
      <w:pPr>
        <w:spacing w:before="0" w:after="80" w:line="324" w:lineRule="auto"/>
        <w:ind w:firstLine="420"/>
      </w:pPr>
      <w:r>
        <w:rPr>
          <w:sz w:val="21"/>
          <w:rFonts w:eastAsia="Microsoft YaHei" w:ascii="Calibri" w:hAnsi="Calibri"/>
        </w:rPr>
        <w:t>双焦点复合样片的表达可以写成：当 θ 落在分配给 f1 的扇区时，T_d(r, θ) = T(r, θ; f1)；当 θ 落在分配给 f2 的扇区时，T_d(r, θ) = T(r, θ; f2)。本设计推荐 24 个扇区（每个扇区 15°），既能保证双焦点分离，又方便菲林加工。若后续想调节两个焦点的强度比，只需改变分配给 f1 和 f2 的扇区数量即可。</w:t>
      </w:r>
    </w:p>
    <w:p>
      <w:pPr>
        <w:spacing w:before="60" w:after="40" w:line="240" w:lineRule="auto"/>
      </w:pPr>
      <w:r>
        <w:rPr>
          <w:b/>
          <w:sz w:val="21"/>
          <w:rFonts w:eastAsia="Microsoft YaHei" w:ascii="Calibri" w:hAnsi="Calibri"/>
        </w:rPr>
        <w:t>代码 2：design_dual_focus_amplitude_spiral_fzp_svg.m</w:t>
      </w:r>
    </w:p>
    <w:p>
      <w:pPr>
        <w:spacing w:before="0" w:after="80" w:line="240" w:lineRule="auto"/>
        <w:ind w:left="198" w:right="85"/>
        <w:shd w:val="clear" w:color="auto" w:fill="F3F4F6"/>
      </w:pPr>
      <w:r>
        <w:rPr>
          <w:rFonts w:ascii="Consolas" w:hAnsi="Consolas" w:eastAsia="Consolas"/>
          <w:sz w:val="17"/>
        </w:rPr>
        <w:t>clc; clear; close all;</w:t>
        <w:br/>
        <w:br/>
        <w:t>lambda = 632.8e-9;</w:t>
        <w:br/>
        <w:t>f1 = 100e-3;</w:t>
        <w:br/>
        <w:t>f2 = 150e-3;</w:t>
        <w:br/>
        <w:t>l = 1;</w:t>
        <w:br/>
        <w:t>D = 4.5e-3;</w:t>
        <w:br/>
        <w:t>margin = 0.5e-3;</w:t>
        <w:br/>
        <w:br/>
        <w:t>nSector = 24;</w:t>
        <w:br/>
        <w:t>nThetaTotal = 7200;</w:t>
        <w:br/>
        <w:t>nThetaPerSector = ceil(nThetaTotal / nSector);</w:t>
        <w:br/>
        <w:br/>
        <w:t>svgName = 'dual_focus_spiral_fzp.svg';</w:t>
        <w:br/>
        <w:t>polys = cell(0, 1);</w:t>
        <w:br/>
        <w:br/>
        <w:t>for k = 1:nSector</w:t>
        <w:br/>
        <w:t xml:space="preserve">    thetaStart = (k - 1) * 2*pi / nSector;</w:t>
        <w:br/>
        <w:t xml:space="preserve">    thetaEnd   =  k      * 2*pi / nSector;</w:t>
        <w:br/>
        <w:br/>
        <w:t xml:space="preserve">    if mod(k, 2) == 1</w:t>
        <w:br/>
        <w:t xml:space="preserve">        fUse = f1;</w:t>
        <w:br/>
        <w:t xml:space="preserve">    else</w:t>
        <w:br/>
        <w:t xml:space="preserve">        fUse = f2;</w:t>
        <w:br/>
        <w:t xml:space="preserve">    end</w:t>
        <w:br/>
        <w:br/>
        <w:t xml:space="preserve">    polysSector = buildSpiralPolys( ...</w:t>
        <w:br/>
        <w:t xml:space="preserve">        lambda, fUse, l, D, thetaStart, thetaEnd, ...</w:t>
        <w:br/>
        <w:t xml:space="preserve">        nThetaPerSector);</w:t>
        <w:br/>
        <w:br/>
        <w:t xml:space="preserve">    polys = [polys; polysSector]; %#ok&lt;AGROW&gt;</w:t>
        <w:br/>
        <w:t>end</w:t>
        <w:br/>
        <w:br/>
        <w:t>writeZoneplateSvg(svgName, polys, D, margin);</w:t>
        <w:br/>
        <w:br/>
        <w:t>fprintf('已输出: %s\n', svgName);</w:t>
      </w:r>
    </w:p>
    <w:p>
      <w:pPr>
        <w:spacing w:before="80" w:after="80" w:line="288" w:lineRule="auto"/>
        <w:jc w:val="left"/>
      </w:pPr>
      <w:r>
        <w:rPr>
          <w:b/>
          <w:sz w:val="28"/>
          <w:rFonts w:eastAsia="Microsoft YaHei" w:ascii="Calibri" w:hAnsi="Calibri"/>
        </w:rPr>
        <w:t>四、公共函数（单焦点与双焦点共用）</w:t>
      </w:r>
    </w:p>
    <w:p>
      <w:pPr>
        <w:spacing w:before="0" w:after="80" w:line="324" w:lineRule="auto"/>
        <w:ind w:firstLine="420"/>
      </w:pPr>
      <w:r>
        <w:rPr>
          <w:sz w:val="21"/>
          <w:rFonts w:eastAsia="Microsoft YaHei" w:ascii="Calibri" w:hAnsi="Calibri"/>
        </w:rPr>
        <w:t>下面的公共函数负责三件事：第一，按给定焦距建立透明区多边形；第二，计算每一个角度上的透明径向区间；第三，把所有多边形按毫米尺寸写入 SVG。建议保存为 write_zoneplate_svg_utils.m，或者直接作为前两个主脚本的局部函数放在文件末尾。</w:t>
      </w:r>
    </w:p>
    <w:p>
      <w:pPr>
        <w:spacing w:before="60" w:after="40" w:line="240" w:lineRule="auto"/>
      </w:pPr>
      <w:r>
        <w:rPr>
          <w:b/>
          <w:sz w:val="21"/>
          <w:rFonts w:eastAsia="Microsoft YaHei" w:ascii="Calibri" w:hAnsi="Calibri"/>
        </w:rPr>
        <w:t>代码 3：write_zoneplate_svg_utils.m</w:t>
      </w:r>
    </w:p>
    <w:p>
      <w:pPr>
        <w:spacing w:before="0" w:after="80" w:line="240" w:lineRule="auto"/>
        <w:ind w:left="198" w:right="85"/>
        <w:shd w:val="clear" w:color="auto" w:fill="F3F4F6"/>
      </w:pPr>
      <w:r>
        <w:rPr>
          <w:rFonts w:ascii="Consolas" w:hAnsi="Consolas" w:eastAsia="Consolas"/>
          <w:sz w:val="17"/>
        </w:rPr>
        <w:t>function polys = buildSpiralPolys( ...</w:t>
        <w:br/>
        <w:t xml:space="preserve">    lambda, f, l, D, thetaStart, thetaEnd, nTheta)</w:t>
        <w:br/>
        <w:br/>
        <w:t>R = D / 2;</w:t>
        <w:br/>
        <w:t>theta = linspace(thetaStart, thetaEnd, nTheta + 1);</w:t>
        <w:br/>
        <w:t>polys = cell(0, 1);</w:t>
        <w:br/>
        <w:br/>
        <w:t>for i = 1:nTheta</w:t>
        <w:br/>
        <w:t xml:space="preserve">    t1 = theta(i);</w:t>
        <w:br/>
        <w:t xml:space="preserve">    t2 = theta(i + 1);</w:t>
        <w:br/>
        <w:br/>
        <w:t xml:space="preserve">    segs1 = transparentSegments(t1, lambda, f, l, R);</w:t>
        <w:br/>
        <w:t xml:space="preserve">    segs2 = transparentSegments(t2, lambda, f, l, R);</w:t>
        <w:br/>
        <w:br/>
        <w:t xml:space="preserve">    nSeg = min(size(segs1, 1), size(segs2, 1));</w:t>
        <w:br/>
        <w:br/>
        <w:t xml:space="preserve">    for s = 1:nSeg</w:t>
        <w:br/>
        <w:t xml:space="preserve">        r11 = segs1(s, 1);</w:t>
        <w:br/>
        <w:t xml:space="preserve">        r12 = segs1(s, 2);</w:t>
        <w:br/>
        <w:t xml:space="preserve">        r21 = segs2(s, 1);</w:t>
        <w:br/>
        <w:t xml:space="preserve">        r22 = segs2(s, 2);</w:t>
        <w:br/>
        <w:br/>
        <w:t xml:space="preserve">        x = [r11*cos(t1), r12*cos(t1), ...</w:t>
        <w:br/>
        <w:t xml:space="preserve">             r22*cos(t2), r21*cos(t2)];</w:t>
        <w:br/>
        <w:t xml:space="preserve">        y = [r11*sin(t1), r12*sin(t1), ...</w:t>
        <w:br/>
        <w:t xml:space="preserve">             r22*sin(t2), r21*sin(t2)];</w:t>
        <w:br/>
        <w:br/>
        <w:t xml:space="preserve">        polys{end + 1, 1} = [x(:), y(:)]; %#ok&lt;AGROW&gt;</w:t>
        <w:br/>
        <w:t xml:space="preserve">    end</w:t>
        <w:br/>
        <w:t>end</w:t>
        <w:br/>
        <w:t>end</w:t>
        <w:br/>
        <w:br/>
        <w:br/>
        <w:t>function segs = transparentSegments(theta, lambda, f, l, R)</w:t>
        <w:br/>
        <w:br/>
        <w:t>mMin = floor((l*theta - pi/2) / (2*pi)) - 1;</w:t>
        <w:br/>
        <w:t>mMax = ceil((l*theta + pi*R^2/(lambda*f) + pi/2) ...</w:t>
        <w:br/>
        <w:t xml:space="preserve">       / (2*pi)) + 1;</w:t>
        <w:br/>
        <w:br/>
        <w:t>segs = zeros(0, 2);</w:t>
        <w:br/>
        <w:br/>
        <w:t>for m = mMin:mMax</w:t>
        <w:br/>
        <w:t xml:space="preserve">    a = -pi/2 - l*theta + 2*pi*m;</w:t>
        <w:br/>
        <w:t xml:space="preserve">    b =  pi/2 - l*theta + 2*pi*m;</w:t>
        <w:br/>
        <w:br/>
        <w:t xml:space="preserve">    if b &lt;= 0</w:t>
        <w:br/>
        <w:t xml:space="preserve">        continue;</w:t>
        <w:br/>
        <w:t xml:space="preserve">    end</w:t>
        <w:br/>
        <w:br/>
        <w:t xml:space="preserve">    r1 = sqrt(max(0, lambda*f*a/pi));</w:t>
        <w:br/>
        <w:t xml:space="preserve">    r2 = sqrt(max(0, lambda*f*b/pi));</w:t>
        <w:br/>
        <w:br/>
        <w:t xml:space="preserve">    r1 = min(r1, R);</w:t>
        <w:br/>
        <w:t xml:space="preserve">    r2 = min(r2, R);</w:t>
        <w:br/>
        <w:br/>
        <w:t xml:space="preserve">    if (r2 - r1) &gt; 1e-12</w:t>
        <w:br/>
        <w:t xml:space="preserve">        segs(end + 1, :) = [r1, r2]; %#ok&lt;AGROW&gt;</w:t>
        <w:br/>
        <w:t xml:space="preserve">    end</w:t>
        <w:br/>
        <w:t>end</w:t>
        <w:br/>
        <w:br/>
        <w:t>if ~isempty(segs)</w:t>
        <w:br/>
        <w:t xml:space="preserve">    segs = sortrows(segs, 1);</w:t>
        <w:br/>
        <w:t>end</w:t>
        <w:br/>
        <w:t>end</w:t>
        <w:br/>
        <w:br/>
        <w:br/>
        <w:t>function writeZoneplateSvg(svgName, polys, D, margin)</w:t>
        <w:br/>
        <w:br/>
        <w:t>side = D + 2*margin;</w:t>
        <w:br/>
        <w:t>sideMm = side * 1e3;</w:t>
        <w:br/>
        <w:br/>
        <w:t>fid = fopen(svgName, 'w');</w:t>
        <w:br/>
        <w:t>assert(fid &gt; 0, '无法创建 SVG 文件。');</w:t>
        <w:br/>
        <w:br/>
        <w:t>fprintf(fid, '&lt;?xml version="1.0" encoding="UTF-8"?&gt;\n');</w:t>
        <w:br/>
        <w:t>fprintf(fid, ['&lt;svg xmlns="http://www.w3.org/2000/svg" ' ...</w:t>
        <w:br/>
        <w:t xml:space="preserve">    'version="1.1" width="%.6fmm" height="%.6fmm" ' ...</w:t>
        <w:br/>
        <w:t xml:space="preserve">    'viewBox="0 0 %.6f %.6f"&gt;\n'], ...</w:t>
        <w:br/>
        <w:t xml:space="preserve">    sideMm, sideMm, sideMm, sideMm);</w:t>
        <w:br/>
        <w:br/>
        <w:t>fprintf(fid, ['  &lt;rect x="0" y="0" width="%.6f" ' ...</w:t>
        <w:br/>
        <w:t xml:space="preserve">    'height="%.6f" fill="#000000"/&gt;\n'], ...</w:t>
        <w:br/>
        <w:t xml:space="preserve">    sideMm, sideMm);</w:t>
        <w:br/>
        <w:br/>
        <w:t>fprintf(fid, '  &lt;g fill="#FFFFFF" stroke="none"&gt;\n');</w:t>
        <w:br/>
        <w:br/>
        <w:t>for k = 1:numel(polys)</w:t>
        <w:br/>
        <w:t xml:space="preserve">    xy = polys{k};</w:t>
        <w:br/>
        <w:br/>
        <w:t xml:space="preserve">    xMm = (xy(:, 1) + side/2) * 1e3;</w:t>
        <w:br/>
        <w:t xml:space="preserve">    yMm = (side/2 - xy(:, 2)) * 1e3;</w:t>
        <w:br/>
        <w:br/>
        <w:t xml:space="preserve">    fprintf(fid, '    &lt;polygon points="');</w:t>
        <w:br/>
        <w:t xml:space="preserve">    for i = 1:numel(xMm)</w:t>
        <w:br/>
        <w:t xml:space="preserve">        fprintf(fid, '%.6f,%.6f ', xMm(i), yMm(i));</w:t>
        <w:br/>
        <w:t xml:space="preserve">    end</w:t>
        <w:br/>
        <w:t xml:space="preserve">    fprintf(fid, '"/&gt;\n');</w:t>
        <w:br/>
        <w:t>end</w:t>
        <w:br/>
        <w:br/>
        <w:t>fprintf(fid, '  &lt;/g&gt;\n');</w:t>
        <w:br/>
        <w:t>fprintf(fid, '&lt;/svg&gt;\n');</w:t>
        <w:br/>
        <w:t>fclose(fid);</w:t>
        <w:br/>
        <w:t>end</w:t>
      </w:r>
    </w:p>
    <w:p>
      <w:pPr>
        <w:spacing w:before="80" w:after="80" w:line="288" w:lineRule="auto"/>
        <w:jc w:val="left"/>
      </w:pPr>
      <w:r>
        <w:rPr>
          <w:b/>
          <w:sz w:val="28"/>
          <w:rFonts w:eastAsia="Microsoft YaHei" w:ascii="Calibri" w:hAnsi="Calibri"/>
        </w:rPr>
        <w:t>五、使用说明与实验对应关系</w:t>
      </w:r>
    </w:p>
    <w:p>
      <w:pPr>
        <w:spacing w:before="0" w:after="80" w:line="324" w:lineRule="auto"/>
        <w:ind w:firstLine="420"/>
      </w:pPr>
      <w:r>
        <w:rPr>
          <w:sz w:val="21"/>
          <w:rFonts w:eastAsia="Microsoft YaHei" w:ascii="Calibri" w:hAnsi="Calibri"/>
        </w:rPr>
        <w:t>1）先保存代码 3 的公共函数，再分别运行代码 1 和代码 2，即可得到 single_focus_spiral_fzp.svg 与 dual_focus_spiral_fzp.svg。2）导出的 SVG 采用毫米物理尺寸、六位小数坐标、黑底白图方式输出，适合直接交给菲林制作方。3）若制版方要求白底黑图，也只允许颜色反相，不允许重新转成位图或重新描边。4）单焦点 SVG 对应实验中的 100 mm 单焦点涡旋焦斑验证；双焦点 SVG 对应实验中的 100 mm / 150 mm 双焦点扫描验证；两者的有效口径、拓扑荷和波长均与现有实验方案一致。</w:t>
      </w:r>
    </w:p>
    <w:p>
      <w:pPr>
        <w:spacing w:before="0" w:after="80" w:line="324" w:lineRule="auto"/>
        <w:ind w:firstLine="420"/>
      </w:pPr>
      <w:r>
        <w:rPr>
          <w:sz w:val="21"/>
          <w:rFonts w:eastAsia="Microsoft YaHei" w:ascii="Calibri" w:hAnsi="Calibri"/>
        </w:rPr>
        <w:t>实际实验中如发现振幅型样片焦面偏暗，优先通过适当降低 ND 衰减、延长曝光时间、增大相机积分帧数来补偿，而不要修改焦距、口径和拓扑荷参数。若后续需要按外协厂家的裁切边框、定位孔或拼版尺寸继续扩展，只需在 writeZoneplateSvg 函数中增加外框图元即可，核心波带片图样不必改动。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54241">
    <w:lvl>
      <w:start w:val="1"/>
      <w:numFmt w:val="decimal"/>
      <w:suff w:val="tab"/>
      <w:lvlText w:val="%1."/>
      <w:rPr>
        <w:color w:val="3370ff"/>
      </w:rPr>
    </w:lvl>
  </w:abstractNum>
  <w:abstractNum w:abstractNumId="554242">
    <w:lvl>
      <w:start w:val="2"/>
      <w:numFmt w:val="decimal"/>
      <w:suff w:val="tab"/>
      <w:lvlText w:val="%1."/>
      <w:rPr>
        <w:color w:val="3370ff"/>
      </w:rPr>
    </w:lvl>
  </w:abstractNum>
  <w:abstractNum w:abstractNumId="554243">
    <w:lvl>
      <w:start w:val="3"/>
      <w:numFmt w:val="decimal"/>
      <w:suff w:val="tab"/>
      <w:lvlText w:val="%1."/>
      <w:rPr>
        <w:color w:val="3370ff"/>
      </w:rPr>
    </w:lvl>
  </w:abstractNum>
  <w:abstractNum w:abstractNumId="554244">
    <w:lvl>
      <w:start w:val="4"/>
      <w:numFmt w:val="decimal"/>
      <w:suff w:val="tab"/>
      <w:lvlText w:val="%1."/>
      <w:rPr>
        <w:color w:val="3370ff"/>
      </w:rPr>
    </w:lvl>
  </w:abstractNum>
  <w:abstractNum w:abstractNumId="554245">
    <w:lvl>
      <w:start w:val="1"/>
      <w:numFmt w:val="decimal"/>
      <w:suff w:val="tab"/>
      <w:lvlText w:val="%1."/>
      <w:rPr>
        <w:color w:val="3370ff"/>
      </w:rPr>
    </w:lvl>
  </w:abstractNum>
  <w:abstractNum w:abstractNumId="554246">
    <w:lvl>
      <w:start w:val="2"/>
      <w:numFmt w:val="decimal"/>
      <w:suff w:val="tab"/>
      <w:lvlText w:val="%1."/>
      <w:rPr>
        <w:color w:val="3370ff"/>
      </w:rPr>
    </w:lvl>
  </w:abstractNum>
  <w:abstractNum w:abstractNumId="554247">
    <w:lvl>
      <w:start w:val="3"/>
      <w:numFmt w:val="decimal"/>
      <w:suff w:val="tab"/>
      <w:lvlText w:val="%1."/>
      <w:rPr>
        <w:color w:val="3370ff"/>
      </w:rPr>
    </w:lvl>
  </w:abstractNum>
  <w:abstractNum w:abstractNumId="554248">
    <w:lvl>
      <w:start w:val="4"/>
      <w:numFmt w:val="decimal"/>
      <w:suff w:val="tab"/>
      <w:lvlText w:val="%1."/>
      <w:rPr>
        <w:color w:val="3370ff"/>
      </w:rPr>
    </w:lvl>
  </w:abstractNum>
  <w:abstractNum w:abstractNumId="554249">
    <w:lvl>
      <w:start w:val="5"/>
      <w:numFmt w:val="decimal"/>
      <w:suff w:val="tab"/>
      <w:lvlText w:val="%1."/>
      <w:rPr>
        <w:color w:val="3370ff"/>
      </w:rPr>
    </w:lvl>
  </w:abstractNum>
  <w:abstractNum w:abstractNumId="554250">
    <w:lvl>
      <w:start w:val="6"/>
      <w:numFmt w:val="decimal"/>
      <w:suff w:val="tab"/>
      <w:lvlText w:val="%1."/>
      <w:rPr>
        <w:color w:val="3370ff"/>
      </w:rPr>
    </w:lvl>
  </w:abstractNum>
  <w:abstractNum w:abstractNumId="554251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554241"/>
  </w:num>
  <w:num w:numId="2">
    <w:abstractNumId w:val="554242"/>
  </w:num>
  <w:num w:numId="3">
    <w:abstractNumId w:val="554243"/>
  </w:num>
  <w:num w:numId="4">
    <w:abstractNumId w:val="554244"/>
  </w:num>
  <w:num w:numId="5">
    <w:abstractNumId w:val="554245"/>
  </w:num>
  <w:num w:numId="6">
    <w:abstractNumId w:val="554246"/>
  </w:num>
  <w:num w:numId="7">
    <w:abstractNumId w:val="554247"/>
  </w:num>
  <w:num w:numId="8">
    <w:abstractNumId w:val="554248"/>
  </w:num>
  <w:num w:numId="9">
    <w:abstractNumId w:val="554249"/>
  </w:num>
  <w:num w:numId="10">
    <w:abstractNumId w:val="554250"/>
  </w:num>
  <w:num w:numId="11">
    <w:abstractNumId w:val="5542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yperlink" Target="https://arxiv.org/html/2501.16950v3" TargetMode="External"/><Relationship Id="rId6" Type="http://schemas.openxmlformats.org/officeDocument/2006/relationships/hyperlink" Target="https://en.wikipedia.org/wiki/Zone_plate" TargetMode="External"/><Relationship Id="rId7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2026-04-30T15:16:26Z</dcterms:created>
  <dc:creator>Apache POI</dc:creator>
</cp:coreProperties>
</file>