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8A960" w14:textId="77777777" w:rsidR="00B94969" w:rsidRDefault="00324E8E" w:rsidP="00B94969">
      <w:pPr>
        <w:jc w:val="center"/>
        <w:rPr>
          <w:rFonts w:eastAsiaTheme="majorEastAsia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06E1A0" wp14:editId="340A826E">
            <wp:simplePos x="0" y="0"/>
            <wp:positionH relativeFrom="margin">
              <wp:posOffset>-673100</wp:posOffset>
            </wp:positionH>
            <wp:positionV relativeFrom="margin">
              <wp:posOffset>8750300</wp:posOffset>
            </wp:positionV>
            <wp:extent cx="4953000" cy="7099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13" t="13237" r="16435" b="-13237"/>
                    <a:stretch/>
                  </pic:blipFill>
                  <pic:spPr bwMode="auto">
                    <a:xfrm rot="5400000">
                      <a:off x="0" y="0"/>
                      <a:ext cx="4953000" cy="709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Commercial </w:t>
      </w:r>
      <w:r w:rsidR="008E6519">
        <w:rPr>
          <w:rFonts w:eastAsiaTheme="majorEastAsia"/>
          <w:b/>
          <w:bCs/>
          <w:sz w:val="36"/>
          <w:szCs w:val="36"/>
        </w:rPr>
        <w:t>g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ene </w:t>
      </w:r>
      <w:r w:rsidR="008E6519">
        <w:rPr>
          <w:rFonts w:eastAsiaTheme="majorEastAsia"/>
          <w:b/>
          <w:bCs/>
          <w:sz w:val="36"/>
          <w:szCs w:val="36"/>
        </w:rPr>
        <w:t>e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xpression </w:t>
      </w:r>
      <w:r w:rsidR="008E6519">
        <w:rPr>
          <w:rFonts w:eastAsiaTheme="majorEastAsia"/>
          <w:b/>
          <w:bCs/>
          <w:sz w:val="36"/>
          <w:szCs w:val="36"/>
        </w:rPr>
        <w:t>t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ests for </w:t>
      </w:r>
      <w:r w:rsidR="008E6519">
        <w:rPr>
          <w:rFonts w:eastAsiaTheme="majorEastAsia"/>
          <w:b/>
          <w:bCs/>
          <w:sz w:val="36"/>
          <w:szCs w:val="36"/>
        </w:rPr>
        <w:t>p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rostate </w:t>
      </w:r>
      <w:r w:rsidR="008E6519">
        <w:rPr>
          <w:rFonts w:eastAsiaTheme="majorEastAsia"/>
          <w:b/>
          <w:bCs/>
          <w:sz w:val="36"/>
          <w:szCs w:val="36"/>
        </w:rPr>
        <w:t>c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ancer </w:t>
      </w:r>
      <w:r w:rsidR="008E6519">
        <w:rPr>
          <w:rFonts w:eastAsiaTheme="majorEastAsia"/>
          <w:b/>
          <w:bCs/>
          <w:sz w:val="36"/>
          <w:szCs w:val="36"/>
        </w:rPr>
        <w:t>p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rognosis </w:t>
      </w:r>
      <w:r w:rsidR="008E6519">
        <w:rPr>
          <w:rFonts w:eastAsiaTheme="majorEastAsia"/>
          <w:b/>
          <w:bCs/>
          <w:sz w:val="36"/>
          <w:szCs w:val="36"/>
        </w:rPr>
        <w:t>p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rovide </w:t>
      </w:r>
      <w:r w:rsidR="008E6519">
        <w:rPr>
          <w:rFonts w:eastAsiaTheme="majorEastAsia"/>
          <w:b/>
          <w:bCs/>
          <w:sz w:val="36"/>
          <w:szCs w:val="36"/>
        </w:rPr>
        <w:t>p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aradoxical </w:t>
      </w:r>
      <w:r w:rsidR="008E6519">
        <w:rPr>
          <w:rFonts w:eastAsiaTheme="majorEastAsia"/>
          <w:b/>
          <w:bCs/>
          <w:sz w:val="36"/>
          <w:szCs w:val="36"/>
        </w:rPr>
        <w:t>e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stimates of </w:t>
      </w:r>
      <w:r w:rsidR="008E6519">
        <w:rPr>
          <w:rFonts w:eastAsiaTheme="majorEastAsia"/>
          <w:b/>
          <w:bCs/>
          <w:sz w:val="36"/>
          <w:szCs w:val="36"/>
        </w:rPr>
        <w:t>r</w:t>
      </w:r>
      <w:r w:rsidR="008E6519" w:rsidRPr="00970264">
        <w:rPr>
          <w:rFonts w:eastAsiaTheme="majorEastAsia"/>
          <w:b/>
          <w:bCs/>
          <w:sz w:val="36"/>
          <w:szCs w:val="36"/>
        </w:rPr>
        <w:t>ace-</w:t>
      </w:r>
      <w:r w:rsidR="008E6519">
        <w:rPr>
          <w:rFonts w:eastAsiaTheme="majorEastAsia"/>
          <w:b/>
          <w:bCs/>
          <w:sz w:val="36"/>
          <w:szCs w:val="36"/>
        </w:rPr>
        <w:t>s</w:t>
      </w:r>
      <w:r w:rsidR="008E6519" w:rsidRPr="00970264">
        <w:rPr>
          <w:rFonts w:eastAsiaTheme="majorEastAsia"/>
          <w:b/>
          <w:bCs/>
          <w:sz w:val="36"/>
          <w:szCs w:val="36"/>
        </w:rPr>
        <w:t xml:space="preserve">pecific </w:t>
      </w:r>
      <w:r w:rsidR="008E6519">
        <w:rPr>
          <w:rFonts w:eastAsiaTheme="majorEastAsia"/>
          <w:b/>
          <w:bCs/>
          <w:sz w:val="36"/>
          <w:szCs w:val="36"/>
        </w:rPr>
        <w:t>r</w:t>
      </w:r>
      <w:r w:rsidR="008E6519" w:rsidRPr="00970264">
        <w:rPr>
          <w:rFonts w:eastAsiaTheme="majorEastAsia"/>
          <w:b/>
          <w:bCs/>
          <w:sz w:val="36"/>
          <w:szCs w:val="36"/>
        </w:rPr>
        <w:t>isk</w:t>
      </w:r>
    </w:p>
    <w:p w14:paraId="44D6B14D" w14:textId="77777777" w:rsidR="00E07466" w:rsidRDefault="00E07466" w:rsidP="00B94969">
      <w:pPr>
        <w:jc w:val="center"/>
        <w:rPr>
          <w:rFonts w:eastAsiaTheme="majorEastAsia"/>
          <w:b/>
          <w:bCs/>
          <w:sz w:val="36"/>
          <w:szCs w:val="36"/>
        </w:rPr>
      </w:pPr>
    </w:p>
    <w:p w14:paraId="7B5CA053" w14:textId="77777777" w:rsidR="00E07466" w:rsidRDefault="00E07466" w:rsidP="00B94969">
      <w:pPr>
        <w:jc w:val="center"/>
        <w:rPr>
          <w:rFonts w:eastAsiaTheme="majorEastAsia"/>
          <w:b/>
          <w:bCs/>
          <w:sz w:val="32"/>
          <w:szCs w:val="32"/>
        </w:rPr>
      </w:pPr>
      <w:r w:rsidRPr="00B94969">
        <w:rPr>
          <w:rFonts w:eastAsiaTheme="majorEastAsia"/>
          <w:b/>
          <w:bCs/>
          <w:sz w:val="32"/>
          <w:szCs w:val="32"/>
        </w:rPr>
        <w:t>Race-specific risk in prostate panels</w:t>
      </w:r>
    </w:p>
    <w:p w14:paraId="2B7F89B0" w14:textId="77777777" w:rsidR="00B94969" w:rsidRDefault="00B94969" w:rsidP="00B94969">
      <w:pPr>
        <w:jc w:val="center"/>
        <w:rPr>
          <w:rFonts w:eastAsiaTheme="majorEastAsia"/>
          <w:b/>
          <w:bCs/>
          <w:sz w:val="32"/>
          <w:szCs w:val="32"/>
        </w:rPr>
      </w:pPr>
    </w:p>
    <w:p w14:paraId="56D1F064" w14:textId="77777777" w:rsidR="00B94969" w:rsidRPr="00B94969" w:rsidRDefault="00B94969" w:rsidP="00B94969">
      <w:pPr>
        <w:pStyle w:val="Author"/>
        <w:jc w:val="left"/>
      </w:pPr>
      <w:r w:rsidRPr="00B94969">
        <w:t xml:space="preserve">Jordan H. Creed </w:t>
      </w:r>
      <w:r w:rsidRPr="00B94969">
        <w:rPr>
          <w:color w:val="0070C0"/>
          <w:vertAlign w:val="superscript"/>
        </w:rPr>
        <w:t>a</w:t>
      </w:r>
      <w:r w:rsidRPr="00B94969">
        <w:t xml:space="preserve">, Anders E. Berglund </w:t>
      </w:r>
      <w:r w:rsidRPr="00B94969">
        <w:rPr>
          <w:color w:val="0070C0"/>
          <w:vertAlign w:val="superscript"/>
        </w:rPr>
        <w:t>b</w:t>
      </w:r>
      <w:r w:rsidRPr="00B94969">
        <w:t xml:space="preserve">, Robert J. </w:t>
      </w:r>
      <w:proofErr w:type="spellStart"/>
      <w:r w:rsidRPr="00B94969">
        <w:t>Rounbehler</w:t>
      </w:r>
      <w:proofErr w:type="spellEnd"/>
      <w:r w:rsidRPr="00B94969">
        <w:t xml:space="preserve"> </w:t>
      </w:r>
      <w:proofErr w:type="spellStart"/>
      <w:r w:rsidRPr="00B94969">
        <w:rPr>
          <w:vertAlign w:val="superscript"/>
        </w:rPr>
        <w:t>c</w:t>
      </w:r>
      <w:proofErr w:type="gramStart"/>
      <w:r w:rsidRPr="00B94969">
        <w:rPr>
          <w:vertAlign w:val="superscript"/>
        </w:rPr>
        <w:t>,e</w:t>
      </w:r>
      <w:proofErr w:type="spellEnd"/>
      <w:proofErr w:type="gramEnd"/>
      <w:r w:rsidRPr="00B94969">
        <w:t xml:space="preserve">, </w:t>
      </w:r>
      <w:proofErr w:type="spellStart"/>
      <w:r w:rsidRPr="00B94969">
        <w:t>Shivanshu</w:t>
      </w:r>
      <w:proofErr w:type="spellEnd"/>
      <w:r w:rsidRPr="00B94969">
        <w:t xml:space="preserve"> </w:t>
      </w:r>
      <w:proofErr w:type="spellStart"/>
      <w:r w:rsidRPr="00B94969">
        <w:t>Awasthi</w:t>
      </w:r>
      <w:proofErr w:type="spellEnd"/>
      <w:r w:rsidRPr="00B94969">
        <w:t xml:space="preserve"> </w:t>
      </w:r>
      <w:proofErr w:type="spellStart"/>
      <w:r w:rsidRPr="00B94969">
        <w:rPr>
          <w:color w:val="0070C0"/>
          <w:vertAlign w:val="superscript"/>
        </w:rPr>
        <w:t>a,d</w:t>
      </w:r>
      <w:proofErr w:type="spellEnd"/>
      <w:r w:rsidRPr="00B94969">
        <w:t xml:space="preserve">, John L. Cleveland </w:t>
      </w:r>
      <w:r w:rsidRPr="00B94969">
        <w:rPr>
          <w:color w:val="0070C0"/>
          <w:vertAlign w:val="superscript"/>
        </w:rPr>
        <w:t>c</w:t>
      </w:r>
      <w:r w:rsidRPr="00B94969">
        <w:t xml:space="preserve">, Jong </w:t>
      </w:r>
      <w:r w:rsidRPr="00B94969">
        <w:rPr>
          <w:rFonts w:eastAsia="Malgun Gothic"/>
          <w:lang w:eastAsia="ko-KR"/>
        </w:rPr>
        <w:t xml:space="preserve">Y. </w:t>
      </w:r>
      <w:r w:rsidRPr="00B94969">
        <w:t xml:space="preserve">Park </w:t>
      </w:r>
      <w:r w:rsidRPr="00B94969">
        <w:rPr>
          <w:color w:val="0070C0"/>
          <w:vertAlign w:val="superscript"/>
        </w:rPr>
        <w:t>a</w:t>
      </w:r>
      <w:r w:rsidRPr="00B94969">
        <w:t xml:space="preserve">, </w:t>
      </w:r>
      <w:proofErr w:type="spellStart"/>
      <w:r w:rsidRPr="00B94969">
        <w:t>Kosj</w:t>
      </w:r>
      <w:proofErr w:type="spellEnd"/>
      <w:r w:rsidRPr="00B94969">
        <w:t xml:space="preserve"> </w:t>
      </w:r>
      <w:proofErr w:type="spellStart"/>
      <w:r w:rsidRPr="00B94969">
        <w:t>Yamoah</w:t>
      </w:r>
      <w:proofErr w:type="spellEnd"/>
      <w:r w:rsidRPr="00B94969">
        <w:t xml:space="preserve"> </w:t>
      </w:r>
      <w:proofErr w:type="spellStart"/>
      <w:r w:rsidRPr="00B94969">
        <w:rPr>
          <w:vertAlign w:val="superscript"/>
        </w:rPr>
        <w:t>a,d</w:t>
      </w:r>
      <w:proofErr w:type="spellEnd"/>
      <w:r w:rsidRPr="00B94969">
        <w:t xml:space="preserve">, Travis A. </w:t>
      </w:r>
      <w:proofErr w:type="spellStart"/>
      <w:r w:rsidRPr="00B94969">
        <w:t>Gerke</w:t>
      </w:r>
      <w:proofErr w:type="spellEnd"/>
      <w:r w:rsidRPr="00B94969">
        <w:t xml:space="preserve"> </w:t>
      </w:r>
      <w:r w:rsidRPr="00B94969">
        <w:rPr>
          <w:color w:val="0070C0"/>
          <w:vertAlign w:val="superscript"/>
        </w:rPr>
        <w:t>a,</w:t>
      </w:r>
      <w:r w:rsidRPr="00B94969">
        <w:rPr>
          <w:color w:val="0070C0"/>
        </w:rPr>
        <w:t>*</w:t>
      </w:r>
    </w:p>
    <w:p w14:paraId="4F0002CB" w14:textId="77777777" w:rsidR="00B94969" w:rsidRPr="00B94969" w:rsidRDefault="00B94969" w:rsidP="00B94969">
      <w:pPr>
        <w:pStyle w:val="BodyText"/>
        <w:rPr>
          <w:rFonts w:ascii="Times New Roman" w:hAnsi="Times New Roman" w:cs="Times New Roman"/>
          <w:i/>
          <w:sz w:val="20"/>
          <w:szCs w:val="20"/>
        </w:rPr>
      </w:pPr>
      <w:r w:rsidRPr="00B94969">
        <w:rPr>
          <w:rFonts w:ascii="Times New Roman" w:hAnsi="Times New Roman" w:cs="Times New Roman"/>
          <w:i/>
          <w:sz w:val="20"/>
          <w:szCs w:val="20"/>
        </w:rPr>
        <w:t xml:space="preserve">Departments </w:t>
      </w:r>
      <w:proofErr w:type="gramStart"/>
      <w:r w:rsidRPr="00B94969">
        <w:rPr>
          <w:rFonts w:ascii="Times New Roman" w:hAnsi="Times New Roman" w:cs="Times New Roman"/>
          <w:i/>
          <w:sz w:val="20"/>
          <w:szCs w:val="20"/>
        </w:rPr>
        <w:t xml:space="preserve">of  </w:t>
      </w:r>
      <w:r w:rsidRPr="00B94969">
        <w:rPr>
          <w:rFonts w:ascii="Times New Roman" w:hAnsi="Times New Roman" w:cs="Times New Roman"/>
          <w:color w:val="0070C0"/>
          <w:sz w:val="20"/>
          <w:szCs w:val="20"/>
          <w:vertAlign w:val="superscript"/>
        </w:rPr>
        <w:t>a</w:t>
      </w:r>
      <w:proofErr w:type="gramEnd"/>
      <w:r w:rsidRPr="00B94969">
        <w:rPr>
          <w:rFonts w:ascii="Times New Roman" w:hAnsi="Times New Roman" w:cs="Times New Roman"/>
          <w:i/>
          <w:sz w:val="20"/>
          <w:szCs w:val="20"/>
        </w:rPr>
        <w:t xml:space="preserve"> Cancer Epidemiology, </w:t>
      </w:r>
      <w:r w:rsidRPr="00B94969">
        <w:rPr>
          <w:rFonts w:ascii="Times New Roman" w:hAnsi="Times New Roman" w:cs="Times New Roman"/>
          <w:color w:val="0070C0"/>
          <w:sz w:val="20"/>
          <w:szCs w:val="20"/>
          <w:vertAlign w:val="superscript"/>
        </w:rPr>
        <w:t>b</w:t>
      </w:r>
      <w:r w:rsidRPr="00B94969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</w:t>
      </w:r>
      <w:r w:rsidRPr="00B94969">
        <w:rPr>
          <w:rFonts w:ascii="Times New Roman" w:hAnsi="Times New Roman" w:cs="Times New Roman"/>
          <w:i/>
          <w:sz w:val="20"/>
          <w:szCs w:val="20"/>
        </w:rPr>
        <w:t xml:space="preserve">Biostatistics and Bioinformatics, </w:t>
      </w:r>
      <w:r w:rsidRPr="00B94969">
        <w:rPr>
          <w:rFonts w:ascii="Times New Roman" w:hAnsi="Times New Roman" w:cs="Times New Roman"/>
          <w:color w:val="0070C0"/>
          <w:sz w:val="20"/>
          <w:szCs w:val="20"/>
          <w:vertAlign w:val="superscript"/>
        </w:rPr>
        <w:t>c</w:t>
      </w:r>
      <w:r w:rsidRPr="00B94969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</w:t>
      </w:r>
      <w:r w:rsidRPr="00B94969">
        <w:rPr>
          <w:rFonts w:ascii="Times New Roman" w:hAnsi="Times New Roman" w:cs="Times New Roman"/>
          <w:i/>
          <w:sz w:val="20"/>
          <w:szCs w:val="20"/>
        </w:rPr>
        <w:t xml:space="preserve">Tumor Biology, or </w:t>
      </w:r>
      <w:r w:rsidRPr="00B94969">
        <w:rPr>
          <w:rFonts w:ascii="Times New Roman" w:hAnsi="Times New Roman" w:cs="Times New Roman"/>
          <w:color w:val="0070C0"/>
          <w:sz w:val="20"/>
          <w:szCs w:val="20"/>
          <w:vertAlign w:val="superscript"/>
        </w:rPr>
        <w:t>d</w:t>
      </w:r>
      <w:r w:rsidRPr="00B94969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</w:t>
      </w:r>
      <w:r w:rsidRPr="00B94969">
        <w:rPr>
          <w:rFonts w:ascii="Times New Roman" w:hAnsi="Times New Roman" w:cs="Times New Roman"/>
          <w:i/>
          <w:sz w:val="20"/>
          <w:szCs w:val="20"/>
        </w:rPr>
        <w:t>Radiation Oncology, H. Lee Moffitt Cancer Center and Research Institute, Tampa, Florida, United States of America.</w:t>
      </w:r>
      <w:r w:rsidRPr="00B94969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proofErr w:type="gramStart"/>
      <w:r w:rsidRPr="00B94969">
        <w:rPr>
          <w:rFonts w:ascii="Times New Roman" w:hAnsi="Times New Roman" w:cs="Times New Roman"/>
          <w:i/>
          <w:sz w:val="20"/>
          <w:szCs w:val="20"/>
          <w:vertAlign w:val="superscript"/>
        </w:rPr>
        <w:t>e</w:t>
      </w:r>
      <w:proofErr w:type="gramEnd"/>
      <w:r w:rsidRPr="00B94969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B94969">
        <w:rPr>
          <w:rFonts w:ascii="Times New Roman" w:hAnsi="Times New Roman" w:cs="Times New Roman"/>
          <w:i/>
          <w:sz w:val="20"/>
          <w:szCs w:val="20"/>
        </w:rPr>
        <w:t>Department of Oncologic Sciences, University of South Florida, Tampa, Florida, United States of America.</w:t>
      </w:r>
    </w:p>
    <w:p w14:paraId="4E78171D" w14:textId="77777777" w:rsidR="00B94969" w:rsidRPr="00B94969" w:rsidRDefault="00B94969" w:rsidP="00B94969">
      <w:pPr>
        <w:jc w:val="center"/>
        <w:rPr>
          <w:rFonts w:eastAsiaTheme="majorEastAsia"/>
          <w:b/>
          <w:bCs/>
        </w:rPr>
      </w:pPr>
    </w:p>
    <w:p w14:paraId="701B868E" w14:textId="77777777" w:rsidR="00E07466" w:rsidRDefault="00E07466">
      <w:pPr>
        <w:rPr>
          <w:rFonts w:eastAsiaTheme="majorEastAsia"/>
          <w:b/>
          <w:bCs/>
          <w:sz w:val="36"/>
          <w:szCs w:val="36"/>
        </w:rPr>
      </w:pPr>
    </w:p>
    <w:p w14:paraId="6B05D950" w14:textId="77777777" w:rsidR="00324E8E" w:rsidRDefault="00324E8E" w:rsidP="008E6519">
      <w:pPr>
        <w:pStyle w:val="FirstParagraph"/>
        <w:spacing w:before="0" w:after="0"/>
        <w:jc w:val="both"/>
      </w:pPr>
      <w:r w:rsidRPr="00324E8E">
        <w:rPr>
          <w:rFonts w:eastAsiaTheme="majorEastAsia"/>
          <w:b/>
          <w:bCs/>
        </w:rPr>
        <w:t>Background:</w:t>
      </w:r>
      <w:r>
        <w:rPr>
          <w:rFonts w:eastAsiaTheme="majorEastAsia"/>
          <w:b/>
          <w:bCs/>
        </w:rPr>
        <w:t xml:space="preserve"> </w:t>
      </w:r>
      <w:r w:rsidR="008E6519" w:rsidRPr="00B5753D">
        <w:rPr>
          <w:rFonts w:asciiTheme="minorHAnsi" w:hAnsiTheme="minorHAnsi"/>
        </w:rPr>
        <w:t>Commercial gene expression signatures of prostate cancer (</w:t>
      </w:r>
      <w:proofErr w:type="spellStart"/>
      <w:r w:rsidR="008E6519" w:rsidRPr="00B5753D">
        <w:rPr>
          <w:rFonts w:asciiTheme="minorHAnsi" w:hAnsiTheme="minorHAnsi"/>
        </w:rPr>
        <w:t>PCa</w:t>
      </w:r>
      <w:proofErr w:type="spellEnd"/>
      <w:r w:rsidR="008E6519" w:rsidRPr="00B5753D">
        <w:rPr>
          <w:rFonts w:asciiTheme="minorHAnsi" w:hAnsiTheme="minorHAnsi"/>
        </w:rPr>
        <w:t>) prognosis were developed and</w:t>
      </w:r>
      <w:r w:rsidR="008E6519">
        <w:rPr>
          <w:rFonts w:asciiTheme="minorHAnsi" w:hAnsiTheme="minorHAnsi"/>
        </w:rPr>
        <w:t xml:space="preserve"> </w:t>
      </w:r>
      <w:r w:rsidR="008E6519" w:rsidRPr="00B5753D">
        <w:rPr>
          <w:rFonts w:asciiTheme="minorHAnsi" w:hAnsiTheme="minorHAnsi"/>
        </w:rPr>
        <w:t>validated in cohorts of predominantly European</w:t>
      </w:r>
      <w:r w:rsidR="00D45ADB">
        <w:rPr>
          <w:rFonts w:asciiTheme="minorHAnsi" w:hAnsiTheme="minorHAnsi"/>
        </w:rPr>
        <w:t xml:space="preserve"> American men (EAM), and l</w:t>
      </w:r>
      <w:r w:rsidR="008E6519" w:rsidRPr="00B5753D">
        <w:rPr>
          <w:rFonts w:asciiTheme="minorHAnsi" w:hAnsiTheme="minorHAnsi"/>
        </w:rPr>
        <w:t xml:space="preserve">imited </w:t>
      </w:r>
      <w:r w:rsidR="008E6519">
        <w:rPr>
          <w:rFonts w:asciiTheme="minorHAnsi" w:hAnsiTheme="minorHAnsi"/>
        </w:rPr>
        <w:t>research</w:t>
      </w:r>
      <w:r w:rsidR="008E6519" w:rsidRPr="00B5753D">
        <w:rPr>
          <w:rFonts w:asciiTheme="minorHAnsi" w:hAnsiTheme="minorHAnsi"/>
        </w:rPr>
        <w:t xml:space="preserve"> </w:t>
      </w:r>
      <w:r w:rsidR="008E6519">
        <w:rPr>
          <w:rFonts w:asciiTheme="minorHAnsi" w:hAnsiTheme="minorHAnsi"/>
        </w:rPr>
        <w:t>exists on</w:t>
      </w:r>
      <w:r w:rsidR="008E6519" w:rsidRPr="00B5753D">
        <w:rPr>
          <w:rFonts w:asciiTheme="minorHAnsi" w:hAnsiTheme="minorHAnsi"/>
        </w:rPr>
        <w:t xml:space="preserve"> the value of such signatures in A</w:t>
      </w:r>
      <w:r w:rsidR="008E6519">
        <w:rPr>
          <w:rFonts w:asciiTheme="minorHAnsi" w:hAnsiTheme="minorHAnsi"/>
        </w:rPr>
        <w:t>frican American men (AAM), who</w:t>
      </w:r>
      <w:r w:rsidR="008E6519" w:rsidRPr="00B5753D">
        <w:rPr>
          <w:rFonts w:asciiTheme="minorHAnsi" w:hAnsiTheme="minorHAnsi"/>
        </w:rPr>
        <w:t xml:space="preserve"> have poor</w:t>
      </w:r>
      <w:r w:rsidR="00D45ADB">
        <w:rPr>
          <w:rFonts w:asciiTheme="minorHAnsi" w:hAnsiTheme="minorHAnsi"/>
        </w:rPr>
        <w:t>er</w:t>
      </w:r>
      <w:r w:rsidR="008E6519" w:rsidRPr="00B5753D">
        <w:rPr>
          <w:rFonts w:asciiTheme="minorHAnsi" w:hAnsiTheme="minorHAnsi"/>
        </w:rPr>
        <w:t xml:space="preserve"> </w:t>
      </w:r>
      <w:proofErr w:type="spellStart"/>
      <w:r w:rsidR="008E6519" w:rsidRPr="00B5753D">
        <w:rPr>
          <w:rFonts w:asciiTheme="minorHAnsi" w:hAnsiTheme="minorHAnsi"/>
        </w:rPr>
        <w:t>PCa</w:t>
      </w:r>
      <w:proofErr w:type="spellEnd"/>
      <w:r w:rsidR="008E6519" w:rsidRPr="00B5753D">
        <w:rPr>
          <w:rFonts w:asciiTheme="minorHAnsi" w:hAnsiTheme="minorHAnsi"/>
        </w:rPr>
        <w:t xml:space="preserve"> outcomes</w:t>
      </w:r>
      <w:r w:rsidR="00D45ADB">
        <w:rPr>
          <w:rFonts w:asciiTheme="minorHAnsi" w:hAnsiTheme="minorHAnsi"/>
        </w:rPr>
        <w:t xml:space="preserve"> [1-5]</w:t>
      </w:r>
      <w:r w:rsidR="008E6519" w:rsidRPr="00B5753D">
        <w:rPr>
          <w:rFonts w:asciiTheme="minorHAnsi" w:hAnsiTheme="minorHAnsi"/>
        </w:rPr>
        <w:t>.</w:t>
      </w:r>
      <w:r w:rsidR="008E6519">
        <w:rPr>
          <w:rFonts w:asciiTheme="minorHAnsi" w:hAnsiTheme="minorHAnsi"/>
        </w:rPr>
        <w:t xml:space="preserve"> W</w:t>
      </w:r>
      <w:r w:rsidR="008E6519" w:rsidRPr="00B5753D">
        <w:t>e explored differences in gene expression betw</w:t>
      </w:r>
      <w:r w:rsidR="00D45ADB">
        <w:t>een EAM and AAM for three panels</w:t>
      </w:r>
      <w:r w:rsidR="008E6519" w:rsidRPr="00B5753D">
        <w:t xml:space="preserve"> recommended by </w:t>
      </w:r>
      <w:r w:rsidR="008E6519">
        <w:t xml:space="preserve">the </w:t>
      </w:r>
      <w:r w:rsidR="008E6519" w:rsidRPr="001323B2">
        <w:t>National Comprehensive Cancer Network</w:t>
      </w:r>
      <w:r w:rsidR="008E6519" w:rsidRPr="00B5753D">
        <w:t xml:space="preserve"> for </w:t>
      </w:r>
      <w:proofErr w:type="spellStart"/>
      <w:r w:rsidR="008E6519" w:rsidRPr="00B5753D">
        <w:t>PCa</w:t>
      </w:r>
      <w:proofErr w:type="spellEnd"/>
      <w:r w:rsidR="008E6519" w:rsidRPr="00B5753D">
        <w:t xml:space="preserve"> prognosis.</w:t>
      </w:r>
      <w:r w:rsidR="008E6519">
        <w:t xml:space="preserve"> </w:t>
      </w:r>
    </w:p>
    <w:p w14:paraId="5A6EC946" w14:textId="77777777" w:rsidR="00324E8E" w:rsidRDefault="00324E8E" w:rsidP="008E6519">
      <w:pPr>
        <w:pStyle w:val="FirstParagraph"/>
        <w:spacing w:before="0" w:after="0"/>
        <w:jc w:val="both"/>
      </w:pPr>
      <w:r w:rsidRPr="00324E8E">
        <w:rPr>
          <w:b/>
        </w:rPr>
        <w:t>Methods:</w:t>
      </w:r>
      <w:r>
        <w:t xml:space="preserve"> </w:t>
      </w:r>
      <w:r w:rsidR="008E6519" w:rsidRPr="00B5753D">
        <w:t>232 EAM and 95 AAM patients provided radical prostatectomy specimens. Gene expression was qu</w:t>
      </w:r>
      <w:r w:rsidR="008E6519">
        <w:t xml:space="preserve">antified using </w:t>
      </w:r>
      <w:proofErr w:type="spellStart"/>
      <w:r w:rsidR="008E6519">
        <w:t>Nanostring</w:t>
      </w:r>
      <w:proofErr w:type="spellEnd"/>
      <w:r w:rsidR="008E6519">
        <w:t xml:space="preserve"> for 60</w:t>
      </w:r>
      <w:r w:rsidR="008E6519" w:rsidRPr="00B5753D">
        <w:t xml:space="preserve"> genes spanning the </w:t>
      </w:r>
      <w:proofErr w:type="spellStart"/>
      <w:r w:rsidR="008E6519" w:rsidRPr="00B5753D">
        <w:t>Oncotype</w:t>
      </w:r>
      <w:proofErr w:type="spellEnd"/>
      <w:r w:rsidR="008E6519" w:rsidRPr="00B5753D">
        <w:t xml:space="preserve"> DX Prostate, </w:t>
      </w:r>
      <w:proofErr w:type="spellStart"/>
      <w:r w:rsidR="008E6519" w:rsidRPr="00B5753D">
        <w:t>Prolaris</w:t>
      </w:r>
      <w:proofErr w:type="spellEnd"/>
      <w:r w:rsidR="008E6519">
        <w:t>,</w:t>
      </w:r>
      <w:r w:rsidR="008E6519" w:rsidRPr="00B5753D">
        <w:t xml:space="preserve"> and</w:t>
      </w:r>
      <w:r w:rsidR="008E6519">
        <w:t xml:space="preserve"> Decipher</w:t>
      </w:r>
      <w:r w:rsidR="008E6519" w:rsidRPr="00B5753D">
        <w:t xml:space="preserve"> panels.</w:t>
      </w:r>
      <w:r w:rsidR="008E6519">
        <w:t xml:space="preserve"> </w:t>
      </w:r>
      <w:r w:rsidR="008E6519" w:rsidRPr="00B5753D">
        <w:t xml:space="preserve">Differential expression and </w:t>
      </w:r>
      <w:proofErr w:type="spellStart"/>
      <w:r w:rsidR="008E6519" w:rsidRPr="00B5753D">
        <w:t>intrapanel</w:t>
      </w:r>
      <w:proofErr w:type="spellEnd"/>
      <w:r w:rsidR="008E6519" w:rsidRPr="00B5753D">
        <w:t xml:space="preserve"> co-expression by race were assessed using Mann-Whitney tests and Spearman’s correlations, respectively. A continuous </w:t>
      </w:r>
      <w:r w:rsidR="008E6519">
        <w:t xml:space="preserve">expression-based </w:t>
      </w:r>
      <w:r w:rsidR="008E6519" w:rsidRPr="00B5753D">
        <w:t>risk score was approximated for each panel</w:t>
      </w:r>
      <w:r w:rsidR="008E6519">
        <w:t xml:space="preserve"> with higher scores indicating worse outcomes</w:t>
      </w:r>
      <w:r w:rsidR="008E6519" w:rsidRPr="00B5753D">
        <w:t xml:space="preserve">. Race-specific </w:t>
      </w:r>
      <w:r w:rsidR="008E6519">
        <w:t>risks</w:t>
      </w:r>
      <w:r w:rsidR="008E6519" w:rsidRPr="00B5753D">
        <w:t xml:space="preserve"> were compared using Mann-Whitney tests and Spearman’s correlations.</w:t>
      </w:r>
      <w:r w:rsidR="008E6519">
        <w:t xml:space="preserve"> </w:t>
      </w:r>
    </w:p>
    <w:p w14:paraId="672C5BF8" w14:textId="77777777" w:rsidR="00324E8E" w:rsidRDefault="00324E8E" w:rsidP="008E6519">
      <w:pPr>
        <w:pStyle w:val="FirstParagraph"/>
        <w:spacing w:before="0" w:after="0"/>
        <w:jc w:val="both"/>
      </w:pPr>
      <w:r w:rsidRPr="00324E8E">
        <w:rPr>
          <w:b/>
        </w:rPr>
        <w:t>Results:</w:t>
      </w:r>
      <w:r>
        <w:t xml:space="preserve"> </w:t>
      </w:r>
      <w:r w:rsidR="008E6519">
        <w:t xml:space="preserve">Clinical and pathologic features were similar between AAM and EAM. </w:t>
      </w:r>
      <w:r w:rsidR="008E6519" w:rsidRPr="00B5753D">
        <w:t xml:space="preserve">Differential expression by race </w:t>
      </w:r>
      <w:r w:rsidR="008E6519">
        <w:t>was observed for 48</w:t>
      </w:r>
      <w:r w:rsidR="008E6519" w:rsidRPr="00B5753D">
        <w:t>% of genes measured, though the magnitudes of expression differences were small</w:t>
      </w:r>
      <w:r>
        <w:t xml:space="preserve">. </w:t>
      </w:r>
      <w:r w:rsidR="008E6519" w:rsidRPr="00B5753D">
        <w:t xml:space="preserve">Co-expression patterns were more strongly preserved by </w:t>
      </w:r>
      <w:r w:rsidR="008E6519">
        <w:t xml:space="preserve">race group for </w:t>
      </w:r>
      <w:proofErr w:type="spellStart"/>
      <w:r w:rsidR="008E6519" w:rsidRPr="00B5753D">
        <w:t>Oncotype</w:t>
      </w:r>
      <w:proofErr w:type="spellEnd"/>
      <w:r w:rsidR="008E6519" w:rsidRPr="00B5753D">
        <w:t xml:space="preserve"> DX </w:t>
      </w:r>
      <w:r w:rsidR="008E6519">
        <w:t>and Decipher</w:t>
      </w:r>
      <w:r w:rsidR="008E6519" w:rsidRPr="00B5753D">
        <w:t xml:space="preserve"> versus </w:t>
      </w:r>
      <w:proofErr w:type="spellStart"/>
      <w:r w:rsidR="008E6519">
        <w:t>Prolaris</w:t>
      </w:r>
      <w:proofErr w:type="spellEnd"/>
      <w:r w:rsidR="008E6519">
        <w:t xml:space="preserve"> </w:t>
      </w:r>
      <w:r w:rsidR="008E6519" w:rsidRPr="00B5753D">
        <w:t>(integrative correlations of 0.87</w:t>
      </w:r>
      <w:r w:rsidR="008E6519">
        <w:t>, 0.73, and 0.62</w:t>
      </w:r>
      <w:r w:rsidR="008E6519" w:rsidRPr="00B5753D">
        <w:t>, respectively)</w:t>
      </w:r>
      <w:r>
        <w:t xml:space="preserve"> (Figure 1)</w:t>
      </w:r>
      <w:r w:rsidR="008E6519" w:rsidRPr="00B5753D">
        <w:t xml:space="preserve">. </w:t>
      </w:r>
      <w:r w:rsidR="008E6519">
        <w:t>Paradoxically, poorer prognosis was estimated</w:t>
      </w:r>
      <w:r w:rsidR="008E6519" w:rsidRPr="00B5753D">
        <w:t xml:space="preserve"> in EAM versus AAM for </w:t>
      </w:r>
      <w:proofErr w:type="spellStart"/>
      <w:r w:rsidR="008E6519" w:rsidRPr="00B5753D">
        <w:t>Prolaris</w:t>
      </w:r>
      <w:proofErr w:type="spellEnd"/>
      <w:r w:rsidR="008E6519" w:rsidRPr="00B5753D">
        <w:t xml:space="preserve"> and </w:t>
      </w:r>
      <w:proofErr w:type="spellStart"/>
      <w:r w:rsidR="008E6519" w:rsidRPr="00B5753D">
        <w:t>Oncotype</w:t>
      </w:r>
      <w:proofErr w:type="spellEnd"/>
      <w:r w:rsidR="008E6519" w:rsidRPr="00B5753D">
        <w:t xml:space="preserve"> DX (</w:t>
      </w:r>
      <m:oMath>
        <m:r>
          <w:rPr>
            <w:rFonts w:ascii="Cambria Math" w:hAnsi="Cambria Math"/>
          </w:rPr>
          <m:t>p=0.01</m:t>
        </m:r>
      </m:oMath>
      <w:r w:rsidR="008E6519" w:rsidRPr="00B5753D">
        <w:t xml:space="preserve"> for both)</w:t>
      </w:r>
      <w:r w:rsidR="008E6519">
        <w:t xml:space="preserve">, whereas worse prognosis was predicted </w:t>
      </w:r>
      <w:r w:rsidR="008E6519" w:rsidRPr="00B5753D">
        <w:t>for AAM versus EAM using Decipher (</w:t>
      </w:r>
      <m:oMath>
        <m:r>
          <w:rPr>
            <w:rFonts w:ascii="Cambria Math" w:hAnsi="Cambria Math"/>
          </w:rPr>
          <m:t>p&lt;0.001</m:t>
        </m:r>
      </m:oMath>
      <w:r w:rsidR="008E6519" w:rsidRPr="00B5753D">
        <w:t xml:space="preserve">). </w:t>
      </w:r>
    </w:p>
    <w:p w14:paraId="2BD11542" w14:textId="77777777" w:rsidR="008E6519" w:rsidRDefault="00324E8E" w:rsidP="008E6519">
      <w:pPr>
        <w:pStyle w:val="FirstParagraph"/>
        <w:spacing w:before="0" w:after="0"/>
        <w:jc w:val="both"/>
      </w:pPr>
      <w:r w:rsidRPr="00324E8E">
        <w:rPr>
          <w:b/>
        </w:rPr>
        <w:t>Discussion:</w:t>
      </w:r>
      <w:r>
        <w:t xml:space="preserve"> </w:t>
      </w:r>
      <w:r w:rsidR="008E6519">
        <w:t>Replication of our findings directly on the commercial panels with long-term follow-up is thus warranted.</w:t>
      </w:r>
      <w:r w:rsidR="008E6519" w:rsidRPr="00B5753D">
        <w:t xml:space="preserve"> Due to observed racial differences across three commercial gene expression panels for </w:t>
      </w:r>
      <w:proofErr w:type="spellStart"/>
      <w:r w:rsidR="008E6519" w:rsidRPr="00B5753D">
        <w:t>PCa</w:t>
      </w:r>
      <w:proofErr w:type="spellEnd"/>
      <w:r w:rsidR="008E6519" w:rsidRPr="00B5753D">
        <w:t xml:space="preserve"> prognosis, </w:t>
      </w:r>
      <w:r w:rsidR="008E6519">
        <w:t>caution is warranted when applying these panels in clinical decision-making in AAM</w:t>
      </w:r>
      <w:r w:rsidR="008E6519" w:rsidRPr="00B5753D">
        <w:t>. Given</w:t>
      </w:r>
      <w:r w:rsidR="008E6519">
        <w:t xml:space="preserve"> our findings</w:t>
      </w:r>
      <w:r w:rsidR="008E6519" w:rsidRPr="00B5753D">
        <w:t xml:space="preserve">, appropriate </w:t>
      </w:r>
      <w:r w:rsidR="008E6519">
        <w:t xml:space="preserve">usage of these </w:t>
      </w:r>
      <w:r w:rsidR="008E6519" w:rsidRPr="00B5753D">
        <w:t>test</w:t>
      </w:r>
      <w:r w:rsidR="008E6519">
        <w:t>s</w:t>
      </w:r>
      <w:r w:rsidR="008E6519" w:rsidRPr="00B5753D">
        <w:t xml:space="preserve"> </w:t>
      </w:r>
      <w:r w:rsidR="008E6519">
        <w:t xml:space="preserve">for </w:t>
      </w:r>
      <w:r w:rsidR="008E6519" w:rsidRPr="00B5753D">
        <w:t>AAM</w:t>
      </w:r>
      <w:r w:rsidR="008E6519">
        <w:t xml:space="preserve"> remains unclear</w:t>
      </w:r>
      <w:r w:rsidR="008E6519" w:rsidRPr="00B5753D">
        <w:t>.</w:t>
      </w:r>
    </w:p>
    <w:p w14:paraId="0F29487E" w14:textId="77777777" w:rsidR="00B94969" w:rsidRDefault="00B94969" w:rsidP="00B94969">
      <w:pPr>
        <w:pStyle w:val="Bibliography"/>
      </w:pPr>
    </w:p>
    <w:p w14:paraId="3DCEB023" w14:textId="77777777" w:rsidR="00D45ADB" w:rsidRDefault="00D45ADB" w:rsidP="00B94969">
      <w:pPr>
        <w:pStyle w:val="Bibliography"/>
        <w:ind w:left="432" w:hanging="432"/>
        <w:rPr>
          <w:color w:val="0070C0"/>
          <w:sz w:val="22"/>
          <w:szCs w:val="22"/>
        </w:rPr>
      </w:pPr>
      <w:r>
        <w:rPr>
          <w:sz w:val="22"/>
          <w:szCs w:val="22"/>
        </w:rPr>
        <w:lastRenderedPageBreak/>
        <w:t>[</w:t>
      </w:r>
      <w:r w:rsidRPr="004A10A1">
        <w:rPr>
          <w:sz w:val="22"/>
          <w:szCs w:val="22"/>
        </w:rPr>
        <w:t xml:space="preserve">1] </w:t>
      </w:r>
      <w:r>
        <w:rPr>
          <w:sz w:val="22"/>
          <w:szCs w:val="22"/>
        </w:rPr>
        <w:tab/>
      </w:r>
      <w:r w:rsidRPr="004A10A1">
        <w:rPr>
          <w:color w:val="0070C0"/>
          <w:sz w:val="22"/>
          <w:szCs w:val="22"/>
        </w:rPr>
        <w:t xml:space="preserve">National Cancer Institute Surveillance, Epidemiology, and End Results Program. Cancer </w:t>
      </w:r>
      <w:bookmarkStart w:id="0" w:name="_GoBack"/>
      <w:bookmarkEnd w:id="0"/>
      <w:r w:rsidRPr="004A10A1">
        <w:rPr>
          <w:color w:val="0070C0"/>
          <w:sz w:val="22"/>
          <w:szCs w:val="22"/>
        </w:rPr>
        <w:t xml:space="preserve">stat facts: Prostate cancer. </w:t>
      </w:r>
      <w:proofErr w:type="spellStart"/>
      <w:proofErr w:type="gramStart"/>
      <w:r w:rsidRPr="004A10A1">
        <w:rPr>
          <w:color w:val="0070C0"/>
          <w:sz w:val="22"/>
          <w:szCs w:val="22"/>
        </w:rPr>
        <w:t>n</w:t>
      </w:r>
      <w:proofErr w:type="gramEnd"/>
      <w:r w:rsidRPr="004A10A1">
        <w:rPr>
          <w:color w:val="0070C0"/>
          <w:sz w:val="22"/>
          <w:szCs w:val="22"/>
        </w:rPr>
        <w:t>.d.</w:t>
      </w:r>
      <w:proofErr w:type="spellEnd"/>
    </w:p>
    <w:p w14:paraId="3D48088E" w14:textId="77777777" w:rsidR="00D45ADB" w:rsidRPr="004A10A1" w:rsidRDefault="00D45ADB" w:rsidP="00D45ADB">
      <w:pPr>
        <w:pStyle w:val="Bibliography"/>
        <w:ind w:left="432" w:hanging="432"/>
        <w:rPr>
          <w:sz w:val="22"/>
          <w:szCs w:val="22"/>
        </w:rPr>
      </w:pPr>
      <w:bookmarkStart w:id="1" w:name="ref-erho2013"/>
      <w:r>
        <w:rPr>
          <w:sz w:val="22"/>
          <w:szCs w:val="22"/>
        </w:rPr>
        <w:t>[2</w:t>
      </w:r>
      <w:proofErr w:type="gramStart"/>
      <w:r w:rsidRPr="004A10A1">
        <w:rPr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4A10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 w:rsidRPr="004A10A1">
        <w:rPr>
          <w:color w:val="0070C0"/>
          <w:sz w:val="22"/>
          <w:szCs w:val="22"/>
        </w:rPr>
        <w:t>Erho</w:t>
      </w:r>
      <w:proofErr w:type="spellEnd"/>
      <w:proofErr w:type="gramEnd"/>
      <w:r w:rsidRPr="004A10A1">
        <w:rPr>
          <w:color w:val="0070C0"/>
          <w:sz w:val="22"/>
          <w:szCs w:val="22"/>
        </w:rPr>
        <w:t xml:space="preserve"> N, </w:t>
      </w:r>
      <w:proofErr w:type="spellStart"/>
      <w:r w:rsidRPr="004A10A1">
        <w:rPr>
          <w:color w:val="0070C0"/>
          <w:sz w:val="22"/>
          <w:szCs w:val="22"/>
        </w:rPr>
        <w:t>Crisan</w:t>
      </w:r>
      <w:proofErr w:type="spellEnd"/>
      <w:r w:rsidRPr="004A10A1">
        <w:rPr>
          <w:color w:val="0070C0"/>
          <w:sz w:val="22"/>
          <w:szCs w:val="22"/>
        </w:rPr>
        <w:t xml:space="preserve"> A, </w:t>
      </w:r>
      <w:proofErr w:type="spellStart"/>
      <w:r w:rsidRPr="004A10A1">
        <w:rPr>
          <w:color w:val="0070C0"/>
          <w:sz w:val="22"/>
          <w:szCs w:val="22"/>
        </w:rPr>
        <w:t>Vergara</w:t>
      </w:r>
      <w:proofErr w:type="spellEnd"/>
      <w:r w:rsidRPr="004A10A1">
        <w:rPr>
          <w:color w:val="0070C0"/>
          <w:sz w:val="22"/>
          <w:szCs w:val="22"/>
        </w:rPr>
        <w:t xml:space="preserve"> IA, </w:t>
      </w:r>
      <w:proofErr w:type="spellStart"/>
      <w:r w:rsidRPr="004A10A1">
        <w:rPr>
          <w:color w:val="0070C0"/>
          <w:sz w:val="22"/>
          <w:szCs w:val="22"/>
        </w:rPr>
        <w:t>Mitra</w:t>
      </w:r>
      <w:proofErr w:type="spellEnd"/>
      <w:r w:rsidRPr="004A10A1">
        <w:rPr>
          <w:color w:val="0070C0"/>
          <w:sz w:val="22"/>
          <w:szCs w:val="22"/>
        </w:rPr>
        <w:t xml:space="preserve"> AP, </w:t>
      </w:r>
      <w:proofErr w:type="spellStart"/>
      <w:r w:rsidRPr="004A10A1">
        <w:rPr>
          <w:color w:val="0070C0"/>
          <w:sz w:val="22"/>
          <w:szCs w:val="22"/>
        </w:rPr>
        <w:t>Ghadessi</w:t>
      </w:r>
      <w:proofErr w:type="spellEnd"/>
      <w:r w:rsidRPr="004A10A1">
        <w:rPr>
          <w:color w:val="0070C0"/>
          <w:sz w:val="22"/>
          <w:szCs w:val="22"/>
        </w:rPr>
        <w:t xml:space="preserve"> M, </w:t>
      </w:r>
      <w:proofErr w:type="spellStart"/>
      <w:r w:rsidRPr="004A10A1">
        <w:rPr>
          <w:color w:val="0070C0"/>
          <w:sz w:val="22"/>
          <w:szCs w:val="22"/>
        </w:rPr>
        <w:t>Buerki</w:t>
      </w:r>
      <w:proofErr w:type="spellEnd"/>
      <w:r w:rsidRPr="004A10A1">
        <w:rPr>
          <w:color w:val="0070C0"/>
          <w:sz w:val="22"/>
          <w:szCs w:val="22"/>
        </w:rPr>
        <w:t xml:space="preserve"> C, et al. Discovery and validation of a prostate cancer genomic classifier that predicts early metastasis following radical prostatectomy. </w:t>
      </w:r>
      <w:proofErr w:type="spellStart"/>
      <w:r w:rsidRPr="004A10A1">
        <w:rPr>
          <w:color w:val="0070C0"/>
          <w:sz w:val="22"/>
          <w:szCs w:val="22"/>
        </w:rPr>
        <w:t>PLoS</w:t>
      </w:r>
      <w:proofErr w:type="spellEnd"/>
      <w:r w:rsidRPr="004A10A1">
        <w:rPr>
          <w:color w:val="0070C0"/>
          <w:sz w:val="22"/>
          <w:szCs w:val="22"/>
        </w:rPr>
        <w:t xml:space="preserve"> ONE 2013</w:t>
      </w:r>
      <w:proofErr w:type="gramStart"/>
      <w:r w:rsidRPr="004A10A1">
        <w:rPr>
          <w:color w:val="0070C0"/>
          <w:sz w:val="22"/>
          <w:szCs w:val="22"/>
        </w:rPr>
        <w:t>;8:e66855</w:t>
      </w:r>
      <w:proofErr w:type="gramEnd"/>
      <w:r w:rsidRPr="004A10A1">
        <w:rPr>
          <w:color w:val="0070C0"/>
          <w:sz w:val="22"/>
          <w:szCs w:val="22"/>
        </w:rPr>
        <w:t>.</w:t>
      </w:r>
    </w:p>
    <w:p w14:paraId="0F7D0143" w14:textId="77777777" w:rsidR="00D45ADB" w:rsidRPr="004A10A1" w:rsidRDefault="00D45ADB" w:rsidP="00D45ADB">
      <w:pPr>
        <w:pStyle w:val="Bibliography"/>
        <w:ind w:left="432" w:hanging="432"/>
        <w:rPr>
          <w:sz w:val="22"/>
          <w:szCs w:val="22"/>
        </w:rPr>
      </w:pPr>
      <w:bookmarkStart w:id="2" w:name="ref-cullen2015"/>
      <w:bookmarkEnd w:id="1"/>
      <w:r>
        <w:rPr>
          <w:sz w:val="22"/>
          <w:szCs w:val="22"/>
        </w:rPr>
        <w:t>[3</w:t>
      </w:r>
      <w:proofErr w:type="gramStart"/>
      <w:r w:rsidRPr="004A10A1">
        <w:rPr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4A10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4A10A1">
        <w:rPr>
          <w:color w:val="0070C0"/>
          <w:sz w:val="22"/>
          <w:szCs w:val="22"/>
        </w:rPr>
        <w:t>Cullen</w:t>
      </w:r>
      <w:proofErr w:type="gramEnd"/>
      <w:r w:rsidRPr="004A10A1">
        <w:rPr>
          <w:color w:val="0070C0"/>
          <w:sz w:val="22"/>
          <w:szCs w:val="22"/>
        </w:rPr>
        <w:t xml:space="preserve"> J, </w:t>
      </w:r>
      <w:proofErr w:type="spellStart"/>
      <w:r w:rsidRPr="004A10A1">
        <w:rPr>
          <w:color w:val="0070C0"/>
          <w:sz w:val="22"/>
          <w:szCs w:val="22"/>
        </w:rPr>
        <w:t>Rosner</w:t>
      </w:r>
      <w:proofErr w:type="spellEnd"/>
      <w:r w:rsidRPr="004A10A1">
        <w:rPr>
          <w:color w:val="0070C0"/>
          <w:sz w:val="22"/>
          <w:szCs w:val="22"/>
        </w:rPr>
        <w:t xml:space="preserve"> IL, Brand TC, Zhang N, </w:t>
      </w:r>
      <w:proofErr w:type="spellStart"/>
      <w:r w:rsidRPr="004A10A1">
        <w:rPr>
          <w:color w:val="0070C0"/>
          <w:sz w:val="22"/>
          <w:szCs w:val="22"/>
        </w:rPr>
        <w:t>Tsiatis</w:t>
      </w:r>
      <w:proofErr w:type="spellEnd"/>
      <w:r w:rsidRPr="004A10A1">
        <w:rPr>
          <w:color w:val="0070C0"/>
          <w:sz w:val="22"/>
          <w:szCs w:val="22"/>
        </w:rPr>
        <w:t xml:space="preserve"> AC, </w:t>
      </w:r>
      <w:proofErr w:type="spellStart"/>
      <w:r w:rsidRPr="004A10A1">
        <w:rPr>
          <w:color w:val="0070C0"/>
          <w:sz w:val="22"/>
          <w:szCs w:val="22"/>
        </w:rPr>
        <w:t>Moncur</w:t>
      </w:r>
      <w:proofErr w:type="spellEnd"/>
      <w:r w:rsidRPr="004A10A1">
        <w:rPr>
          <w:color w:val="0070C0"/>
          <w:sz w:val="22"/>
          <w:szCs w:val="22"/>
        </w:rPr>
        <w:t xml:space="preserve"> J, et al. A Biopsy-based 17-gene Genomic Prostate Score Predicts Recurrence After Radical Prostatectomy and Adverse Surgical Pathology in a Racially Diverse Population of Men with Clinically Low- and Intermediate-risk Prostate Cancer. </w:t>
      </w:r>
      <w:proofErr w:type="spellStart"/>
      <w:r w:rsidRPr="004A10A1">
        <w:rPr>
          <w:color w:val="0070C0"/>
          <w:sz w:val="22"/>
          <w:szCs w:val="22"/>
        </w:rPr>
        <w:t>Eur</w:t>
      </w:r>
      <w:proofErr w:type="spellEnd"/>
      <w:r w:rsidRPr="004A10A1">
        <w:rPr>
          <w:color w:val="0070C0"/>
          <w:sz w:val="22"/>
          <w:szCs w:val="22"/>
        </w:rPr>
        <w:t xml:space="preserve"> </w:t>
      </w:r>
      <w:proofErr w:type="spellStart"/>
      <w:r w:rsidRPr="004A10A1">
        <w:rPr>
          <w:color w:val="0070C0"/>
          <w:sz w:val="22"/>
          <w:szCs w:val="22"/>
        </w:rPr>
        <w:t>Urol</w:t>
      </w:r>
      <w:proofErr w:type="spellEnd"/>
      <w:r w:rsidRPr="004A10A1">
        <w:rPr>
          <w:color w:val="0070C0"/>
          <w:sz w:val="22"/>
          <w:szCs w:val="22"/>
        </w:rPr>
        <w:t xml:space="preserve"> 2015</w:t>
      </w:r>
      <w:proofErr w:type="gramStart"/>
      <w:r w:rsidRPr="004A10A1">
        <w:rPr>
          <w:color w:val="0070C0"/>
          <w:sz w:val="22"/>
          <w:szCs w:val="22"/>
        </w:rPr>
        <w:t>;68:123</w:t>
      </w:r>
      <w:proofErr w:type="gramEnd"/>
      <w:r w:rsidRPr="004A10A1">
        <w:rPr>
          <w:color w:val="0070C0"/>
          <w:sz w:val="22"/>
          <w:szCs w:val="22"/>
        </w:rPr>
        <w:t>–31.</w:t>
      </w:r>
    </w:p>
    <w:p w14:paraId="49A61A5E" w14:textId="77777777" w:rsidR="00D45ADB" w:rsidRDefault="00D45ADB" w:rsidP="00D45ADB">
      <w:pPr>
        <w:pStyle w:val="Bibliography"/>
        <w:ind w:left="432" w:hanging="432"/>
        <w:rPr>
          <w:color w:val="0070C0"/>
          <w:sz w:val="22"/>
          <w:szCs w:val="22"/>
        </w:rPr>
      </w:pPr>
      <w:bookmarkStart w:id="3" w:name="ref-cuzick2011"/>
      <w:bookmarkEnd w:id="2"/>
      <w:r>
        <w:rPr>
          <w:sz w:val="22"/>
          <w:szCs w:val="22"/>
        </w:rPr>
        <w:t>[4</w:t>
      </w:r>
      <w:proofErr w:type="gramStart"/>
      <w:r w:rsidRPr="004A10A1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  </w:t>
      </w:r>
      <w:proofErr w:type="spellStart"/>
      <w:r w:rsidRPr="004A10A1">
        <w:rPr>
          <w:color w:val="0070C0"/>
          <w:sz w:val="22"/>
          <w:szCs w:val="22"/>
        </w:rPr>
        <w:t>Cuzick</w:t>
      </w:r>
      <w:proofErr w:type="spellEnd"/>
      <w:proofErr w:type="gramEnd"/>
      <w:r w:rsidRPr="004A10A1">
        <w:rPr>
          <w:color w:val="0070C0"/>
          <w:sz w:val="22"/>
          <w:szCs w:val="22"/>
        </w:rPr>
        <w:t xml:space="preserve"> J, Swanson GP, Fisher G, </w:t>
      </w:r>
      <w:proofErr w:type="spellStart"/>
      <w:r w:rsidRPr="004A10A1">
        <w:rPr>
          <w:color w:val="0070C0"/>
          <w:sz w:val="22"/>
          <w:szCs w:val="22"/>
        </w:rPr>
        <w:t>Brothman</w:t>
      </w:r>
      <w:proofErr w:type="spellEnd"/>
      <w:r w:rsidRPr="004A10A1">
        <w:rPr>
          <w:color w:val="0070C0"/>
          <w:sz w:val="22"/>
          <w:szCs w:val="22"/>
        </w:rPr>
        <w:t xml:space="preserve"> AR, </w:t>
      </w:r>
      <w:proofErr w:type="spellStart"/>
      <w:r w:rsidRPr="004A10A1">
        <w:rPr>
          <w:color w:val="0070C0"/>
          <w:sz w:val="22"/>
          <w:szCs w:val="22"/>
        </w:rPr>
        <w:t>Berney</w:t>
      </w:r>
      <w:proofErr w:type="spellEnd"/>
      <w:r w:rsidRPr="004A10A1">
        <w:rPr>
          <w:color w:val="0070C0"/>
          <w:sz w:val="22"/>
          <w:szCs w:val="22"/>
        </w:rPr>
        <w:t xml:space="preserve"> DM, Reid JE, et al. Prognostic value of an RNA expression signature derived from cell cycle proliferation genes in patients with prostate cancer: a retrospective study. Lancet </w:t>
      </w:r>
      <w:proofErr w:type="spellStart"/>
      <w:r w:rsidRPr="004A10A1">
        <w:rPr>
          <w:color w:val="0070C0"/>
          <w:sz w:val="22"/>
          <w:szCs w:val="22"/>
        </w:rPr>
        <w:t>Oncol</w:t>
      </w:r>
      <w:proofErr w:type="spellEnd"/>
      <w:r w:rsidRPr="004A10A1">
        <w:rPr>
          <w:color w:val="0070C0"/>
          <w:sz w:val="22"/>
          <w:szCs w:val="22"/>
        </w:rPr>
        <w:t xml:space="preserve"> 2011</w:t>
      </w:r>
      <w:proofErr w:type="gramStart"/>
      <w:r w:rsidRPr="004A10A1">
        <w:rPr>
          <w:color w:val="0070C0"/>
          <w:sz w:val="22"/>
          <w:szCs w:val="22"/>
        </w:rPr>
        <w:t>;12:245</w:t>
      </w:r>
      <w:proofErr w:type="gramEnd"/>
      <w:r w:rsidRPr="004A10A1">
        <w:rPr>
          <w:color w:val="0070C0"/>
          <w:sz w:val="22"/>
          <w:szCs w:val="22"/>
        </w:rPr>
        <w:t>–55.</w:t>
      </w:r>
    </w:p>
    <w:p w14:paraId="044E5661" w14:textId="77777777" w:rsidR="00D45ADB" w:rsidRPr="004A10A1" w:rsidRDefault="00D45ADB" w:rsidP="00D45ADB">
      <w:pPr>
        <w:pStyle w:val="Bibliography"/>
        <w:ind w:left="432" w:hanging="432"/>
        <w:rPr>
          <w:sz w:val="22"/>
          <w:szCs w:val="22"/>
        </w:rPr>
      </w:pPr>
      <w:r>
        <w:rPr>
          <w:color w:val="0070C0"/>
          <w:sz w:val="22"/>
          <w:szCs w:val="22"/>
        </w:rPr>
        <w:t>[5</w:t>
      </w:r>
      <w:proofErr w:type="gramStart"/>
      <w:r>
        <w:rPr>
          <w:color w:val="0070C0"/>
          <w:sz w:val="22"/>
          <w:szCs w:val="22"/>
        </w:rPr>
        <w:t>]   Taylor</w:t>
      </w:r>
      <w:proofErr w:type="gramEnd"/>
      <w:r>
        <w:rPr>
          <w:color w:val="0070C0"/>
          <w:sz w:val="22"/>
          <w:szCs w:val="22"/>
        </w:rPr>
        <w:t xml:space="preserve"> BS, Schultz N, Hieronymus H, </w:t>
      </w:r>
      <w:proofErr w:type="spellStart"/>
      <w:r>
        <w:rPr>
          <w:color w:val="0070C0"/>
          <w:sz w:val="22"/>
          <w:szCs w:val="22"/>
        </w:rPr>
        <w:t>Gopalan</w:t>
      </w:r>
      <w:proofErr w:type="spellEnd"/>
      <w:r>
        <w:rPr>
          <w:color w:val="0070C0"/>
          <w:sz w:val="22"/>
          <w:szCs w:val="22"/>
        </w:rPr>
        <w:t xml:space="preserve"> A, Xiao Y, Carver BS, et al. Integrative genomic profiling of prostate cancer. Cancer Cell 2010</w:t>
      </w:r>
      <w:proofErr w:type="gramStart"/>
      <w:r>
        <w:rPr>
          <w:color w:val="0070C0"/>
          <w:sz w:val="22"/>
          <w:szCs w:val="22"/>
        </w:rPr>
        <w:t>;18:11</w:t>
      </w:r>
      <w:proofErr w:type="gramEnd"/>
      <w:r>
        <w:rPr>
          <w:color w:val="0070C0"/>
          <w:sz w:val="22"/>
          <w:szCs w:val="22"/>
        </w:rPr>
        <w:t>-22.</w:t>
      </w:r>
    </w:p>
    <w:bookmarkEnd w:id="3"/>
    <w:p w14:paraId="4C546CA1" w14:textId="77777777" w:rsidR="00D45ADB" w:rsidRDefault="00D45ADB" w:rsidP="00D45ADB">
      <w:pPr>
        <w:pStyle w:val="Bibliography"/>
        <w:ind w:left="432" w:hanging="432"/>
        <w:rPr>
          <w:color w:val="0070C0"/>
          <w:sz w:val="22"/>
          <w:szCs w:val="22"/>
        </w:rPr>
      </w:pPr>
    </w:p>
    <w:p w14:paraId="5DD82877" w14:textId="77777777" w:rsidR="00D45ADB" w:rsidRPr="004A10A1" w:rsidRDefault="00D45ADB" w:rsidP="00D45ADB">
      <w:pPr>
        <w:pStyle w:val="Bibliography"/>
        <w:ind w:left="432" w:hanging="432"/>
        <w:rPr>
          <w:color w:val="0070C0"/>
          <w:sz w:val="22"/>
          <w:szCs w:val="22"/>
        </w:rPr>
      </w:pPr>
    </w:p>
    <w:p w14:paraId="48953E1D" w14:textId="77777777" w:rsidR="00D45ADB" w:rsidRDefault="00D45ADB"/>
    <w:p w14:paraId="207CB30E" w14:textId="77777777" w:rsidR="00D45ADB" w:rsidRDefault="00D45ADB"/>
    <w:p w14:paraId="6AEDF5BA" w14:textId="77777777" w:rsidR="00E07466" w:rsidRDefault="00E07466"/>
    <w:p w14:paraId="45F8D203" w14:textId="77777777" w:rsidR="00E07466" w:rsidRDefault="00E07466"/>
    <w:p w14:paraId="759D973A" w14:textId="77777777" w:rsidR="00E07466" w:rsidRDefault="00E07466"/>
    <w:p w14:paraId="39BF799E" w14:textId="77777777" w:rsidR="00E07466" w:rsidRDefault="00E07466"/>
    <w:p w14:paraId="01A96B75" w14:textId="77777777" w:rsidR="00E07466" w:rsidRDefault="00E07466"/>
    <w:p w14:paraId="5B8C1ECD" w14:textId="77777777" w:rsidR="00E07466" w:rsidRDefault="00E07466"/>
    <w:p w14:paraId="29867A43" w14:textId="77777777" w:rsidR="00E07466" w:rsidRDefault="00E07466"/>
    <w:p w14:paraId="270D2ED6" w14:textId="77777777" w:rsidR="00E07466" w:rsidRDefault="00E07466"/>
    <w:p w14:paraId="3FCAA10F" w14:textId="77777777" w:rsidR="00E07466" w:rsidRDefault="00E07466"/>
    <w:p w14:paraId="5B9183B4" w14:textId="77777777" w:rsidR="00E07466" w:rsidRDefault="00E07466"/>
    <w:p w14:paraId="787686A0" w14:textId="77777777" w:rsidR="00E07466" w:rsidRDefault="00E07466"/>
    <w:p w14:paraId="76179A17" w14:textId="77777777" w:rsidR="00E07466" w:rsidRDefault="00E07466"/>
    <w:p w14:paraId="027F48D7" w14:textId="77777777" w:rsidR="00E07466" w:rsidRDefault="00E07466"/>
    <w:p w14:paraId="681A038B" w14:textId="77777777" w:rsidR="00E07466" w:rsidRDefault="00E07466"/>
    <w:p w14:paraId="4906E87B" w14:textId="77777777" w:rsidR="00E07466" w:rsidRDefault="00E07466"/>
    <w:p w14:paraId="29118044" w14:textId="77777777" w:rsidR="00E07466" w:rsidRDefault="00E07466"/>
    <w:p w14:paraId="1F72726B" w14:textId="77777777" w:rsidR="00E07466" w:rsidRDefault="00E07466"/>
    <w:p w14:paraId="049C31D1" w14:textId="77777777" w:rsidR="00E07466" w:rsidRDefault="00E07466"/>
    <w:p w14:paraId="772FC237" w14:textId="77777777" w:rsidR="00E07466" w:rsidRDefault="00E07466"/>
    <w:p w14:paraId="7E3AA705" w14:textId="77777777" w:rsidR="00E07466" w:rsidRDefault="00E07466"/>
    <w:p w14:paraId="2B267283" w14:textId="77777777" w:rsidR="00E07466" w:rsidRDefault="00E07466"/>
    <w:p w14:paraId="7D03E3A1" w14:textId="77777777" w:rsidR="00E07466" w:rsidRDefault="00E07466"/>
    <w:p w14:paraId="194081BD" w14:textId="77777777" w:rsidR="00324E8E" w:rsidRDefault="00324E8E"/>
    <w:p w14:paraId="5ABDF903" w14:textId="77777777" w:rsidR="00324E8E" w:rsidRDefault="00324E8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3A7E7F" wp14:editId="69137B04">
            <wp:simplePos x="0" y="0"/>
            <wp:positionH relativeFrom="column">
              <wp:posOffset>-151763</wp:posOffset>
            </wp:positionH>
            <wp:positionV relativeFrom="paragraph">
              <wp:posOffset>-762002</wp:posOffset>
            </wp:positionV>
            <wp:extent cx="5955629" cy="7252304"/>
            <wp:effectExtent l="12065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7" r="9705" b="8498"/>
                    <a:stretch/>
                  </pic:blipFill>
                  <pic:spPr bwMode="auto">
                    <a:xfrm rot="5400000">
                      <a:off x="0" y="0"/>
                      <a:ext cx="5955629" cy="725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Figure 1:  Intrapanel gene correlation heatmaps in EAM (left) and AAM (middle) and </w:t>
      </w:r>
      <w:r w:rsidR="00B94969">
        <w:rPr>
          <w:noProof/>
        </w:rPr>
        <w:t xml:space="preserve">interative correlations (right) in Prolaris (top), Oncotype (middle) and Deipher (bottom). </w:t>
      </w:r>
    </w:p>
    <w:sectPr w:rsidR="00324E8E" w:rsidSect="00B11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19"/>
    <w:rsid w:val="00324E8E"/>
    <w:rsid w:val="005C11CA"/>
    <w:rsid w:val="008E6519"/>
    <w:rsid w:val="00B11B7B"/>
    <w:rsid w:val="00B94969"/>
    <w:rsid w:val="00D45ADB"/>
    <w:rsid w:val="00E07466"/>
    <w:rsid w:val="00F7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4D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E6519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8E6519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8E651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5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19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qFormat/>
    <w:rsid w:val="00D45ADB"/>
    <w:pPr>
      <w:spacing w:after="200"/>
    </w:pPr>
    <w:rPr>
      <w:rFonts w:eastAsiaTheme="minorHAnsi"/>
    </w:rPr>
  </w:style>
  <w:style w:type="paragraph" w:customStyle="1" w:styleId="Author">
    <w:name w:val="Author"/>
    <w:next w:val="BodyText"/>
    <w:qFormat/>
    <w:rsid w:val="00B94969"/>
    <w:pPr>
      <w:keepNext/>
      <w:keepLines/>
      <w:spacing w:after="200"/>
      <w:jc w:val="center"/>
    </w:pPr>
    <w:rPr>
      <w:rFonts w:ascii="Times New Roman" w:eastAsiaTheme="minorHAnsi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E6519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8E6519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8E651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5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19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qFormat/>
    <w:rsid w:val="00D45ADB"/>
    <w:pPr>
      <w:spacing w:after="200"/>
    </w:pPr>
    <w:rPr>
      <w:rFonts w:eastAsiaTheme="minorHAnsi"/>
    </w:rPr>
  </w:style>
  <w:style w:type="paragraph" w:customStyle="1" w:styleId="Author">
    <w:name w:val="Author"/>
    <w:next w:val="BodyText"/>
    <w:qFormat/>
    <w:rsid w:val="00B94969"/>
    <w:pPr>
      <w:keepNext/>
      <w:keepLines/>
      <w:spacing w:after="200"/>
      <w:jc w:val="center"/>
    </w:pPr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612</Words>
  <Characters>3310</Characters>
  <Application>Microsoft Macintosh Word</Application>
  <DocSecurity>0</DocSecurity>
  <Lines>68</Lines>
  <Paragraphs>15</Paragraphs>
  <ScaleCrop>false</ScaleCrop>
  <Company>Moffitt Cancer Center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Creed</dc:creator>
  <cp:keywords/>
  <dc:description/>
  <cp:lastModifiedBy>Jordan Creed</cp:lastModifiedBy>
  <cp:revision>2</cp:revision>
  <dcterms:created xsi:type="dcterms:W3CDTF">2018-11-15T13:42:00Z</dcterms:created>
  <dcterms:modified xsi:type="dcterms:W3CDTF">2018-11-15T15:14:00Z</dcterms:modified>
</cp:coreProperties>
</file>