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Liberation Sans" w:hAnsi="Liberation Sans"/>
          <w:b/>
          <w:color w:val="35679A"/>
          <w:sz w:val="46"/>
        </w:rPr>
        <w:t>Sistema web ENCUENTRO — Documentación maestra consolidada</w:t>
      </w:r>
    </w:p>
    <w:p>
      <w:pPr>
        <w:jc w:val="center"/>
      </w:pPr>
      <w:r>
        <w:rPr>
          <w:b/>
          <w:i/>
          <w:color w:val="5B2328"/>
          <w:sz w:val="22"/>
        </w:rPr>
        <w:t>Resumen ejecutivo y fuente única v2.7</w:t>
      </w:r>
    </w:p>
    <w:p>
      <w:pPr>
        <w:jc w:val="center"/>
      </w:pPr>
      <w:r>
        <w:rPr>
          <w:color w:val="6B7280"/>
        </w:rPr>
        <w:t>Versión 2.7 · 22 de julio de 2026</w:t>
      </w:r>
    </w:p>
    <w:p/>
    <w:p>
      <w:pPr>
        <w:pStyle w:val="Heading1"/>
      </w:pPr>
      <w:r>
        <w:t>1. Estado de la versión</w:t>
      </w:r>
    </w:p>
    <w:p>
      <w:r>
        <w:t>La v2.7 integra DEC-001 a DEC-004 en una línea base candidata. Debe verificarse contra la totalidad de v2.6 antes de sustituir o archivar las fuentes anteriores.</w:t>
      </w:r>
    </w:p>
    <w:p>
      <w:pPr>
        <w:pStyle w:val="Heading1"/>
      </w:pPr>
      <w:r>
        <w:t>2. Decisiones aprobadas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35679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3408"/>
            <w:shd w:fill="35679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Título</w:t>
            </w:r>
          </w:p>
        </w:tc>
        <w:tc>
          <w:tcPr>
            <w:tcW w:type="dxa" w:w="3408"/>
            <w:shd w:fill="35679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Fecha</w:t>
            </w:r>
          </w:p>
        </w:tc>
      </w:tr>
      <w:tr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DEC-001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Infraestructura productiva y estrategia de despliegue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2026-07-13</w:t>
            </w:r>
          </w:p>
        </w:tc>
      </w:tr>
      <w:tr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r>
              <w:rPr>
                <w:sz w:val="16"/>
              </w:rPr>
              <w:t>DEC-002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r>
              <w:rPr>
                <w:sz w:val="16"/>
              </w:rPr>
              <w:t>Modalidades y canales de pago de v1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r>
              <w:rPr>
                <w:sz w:val="16"/>
              </w:rPr>
              <w:t>2026-07-14</w:t>
            </w:r>
          </w:p>
        </w:tc>
      </w:tr>
      <w:tr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DEC-003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Comprobante de pago, numeración y verificación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2026-07-22</w:t>
            </w:r>
          </w:p>
        </w:tc>
      </w:tr>
      <w:tr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r>
              <w:rPr>
                <w:sz w:val="16"/>
              </w:rPr>
              <w:t>DEC-004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r>
              <w:rPr>
                <w:sz w:val="16"/>
              </w:rPr>
              <w:t>Llegada durante IN_PROGRESS, duración y servicios</w:t>
            </w:r>
          </w:p>
        </w:tc>
        <w:tc>
          <w:tcPr>
            <w:tcW w:type="dxa" w:w="340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r>
              <w:rPr>
                <w:sz w:val="16"/>
              </w:rPr>
              <w:t>2026-07-22</w:t>
            </w:r>
          </w:p>
        </w:tc>
      </w:tr>
    </w:tbl>
    <w:p>
      <w:pPr>
        <w:pStyle w:val="Heading1"/>
      </w:pPr>
      <w:r>
        <w:t>3. Reglas de negocio consolidadas</w:t>
      </w:r>
    </w:p>
    <w:p>
      <w:pPr>
        <w:pStyle w:val="ListBullet"/>
      </w:pPr>
      <w:r>
        <w:t>Dos modalidades: anticipado y al llegar.</w:t>
      </w:r>
    </w:p>
    <w:p>
      <w:pPr>
        <w:pStyle w:val="ListBullet"/>
      </w:pPr>
      <w:r>
        <w:t>50% anticipado aprobado confirma precio y habilita hotel.</w:t>
      </w:r>
    </w:p>
    <w:p>
      <w:pPr>
        <w:pStyle w:val="ListBullet"/>
      </w:pPr>
      <w:r>
        <w:t>Pago manual con evidencia y revisión humana.</w:t>
      </w:r>
    </w:p>
    <w:p>
      <w:pPr>
        <w:pStyle w:val="ListBullet"/>
      </w:pPr>
      <w:r>
        <w:t>Comprobante de pago por cada pago aprobado.</w:t>
      </w:r>
    </w:p>
    <w:p>
      <w:pPr>
        <w:pStyle w:val="ListBullet"/>
      </w:pPr>
      <w:r>
        <w:t>No prorrateo durante IN_PROGRESS.</w:t>
      </w:r>
    </w:p>
    <w:p>
      <w:pPr>
        <w:pStyle w:val="ListBullet"/>
      </w:pPr>
      <w:r>
        <w:t>Duración y noches configurables; referencia 8 días/7 noches.</w:t>
      </w:r>
    </w:p>
    <w:p>
      <w:pPr>
        <w:pStyle w:val="ListBullet"/>
      </w:pPr>
      <w:r>
        <w:t>Reserva CONFIRMED no se libera por llegada tardía.</w:t>
      </w:r>
    </w:p>
    <w:p>
      <w:pPr>
        <w:pStyle w:val="ListBullet"/>
      </w:pPr>
      <w:r>
        <w:t>Alimentos por día/horario/cantidad.</w:t>
      </w:r>
    </w:p>
    <w:p>
      <w:pPr>
        <w:pStyle w:val="ListBullet"/>
      </w:pPr>
      <w:r>
        <w:t>Paquetes privados solo para Inscripciones.</w:t>
      </w:r>
    </w:p>
    <w:p>
      <w:pPr>
        <w:pStyle w:val="Heading1"/>
      </w:pPr>
      <w:r>
        <w:t>4. Arquitectura</w:t>
      </w:r>
    </w:p>
    <w:p>
      <w:pPr>
        <w:pStyle w:val="ListBullet"/>
      </w:pPr>
      <w:r>
        <w:t>OVHcloud VPS-3, Ubuntu 24.04 LTS y Docker.</w:t>
      </w:r>
    </w:p>
    <w:p>
      <w:pPr>
        <w:pStyle w:val="ListBullet"/>
      </w:pPr>
      <w:r>
        <w:t>Next.js web + worker BullMQ.</w:t>
      </w:r>
    </w:p>
    <w:p>
      <w:pPr>
        <w:pStyle w:val="ListBullet"/>
      </w:pPr>
      <w:r>
        <w:t>PostgreSQL/Redis privados.</w:t>
      </w:r>
    </w:p>
    <w:p>
      <w:pPr>
        <w:pStyle w:val="ListBullet"/>
      </w:pPr>
      <w:r>
        <w:t>Monolito modular de 16 dominios.</w:t>
      </w:r>
    </w:p>
    <w:p>
      <w:pPr>
        <w:pStyle w:val="ListBullet"/>
      </w:pPr>
      <w:r>
        <w:t>Outbox, idempotencia, auditoría y archivos privados.</w:t>
      </w:r>
    </w:p>
    <w:p>
      <w:pPr>
        <w:pStyle w:val="Heading1"/>
      </w:pPr>
      <w:r>
        <w:t>5. Documentos del paquete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35679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Documento</w:t>
            </w:r>
          </w:p>
        </w:tc>
        <w:tc>
          <w:tcPr>
            <w:tcW w:type="dxa" w:w="5112"/>
            <w:shd w:fill="35679A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Función</w:t>
            </w:r>
          </w:p>
        </w:tc>
      </w:tr>
      <w:tr>
        <w:tc>
          <w:tcPr>
            <w:tcW w:type="dxa" w:w="51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Requisitos y reglas</w:t>
            </w:r>
          </w:p>
        </w:tc>
        <w:tc>
          <w:tcPr>
            <w:tcW w:type="dxa" w:w="51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Qué debe hacer el sistema.</w:t>
            </w:r>
          </w:p>
        </w:tc>
      </w:tr>
      <w:tr>
        <w:tc>
          <w:tcPr>
            <w:tcW w:type="dxa" w:w="51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r>
              <w:rPr>
                <w:sz w:val="16"/>
              </w:rPr>
              <w:t>Arquitectura maestra</w:t>
            </w:r>
          </w:p>
        </w:tc>
        <w:tc>
          <w:tcPr>
            <w:tcW w:type="dxa" w:w="51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r>
              <w:rPr>
                <w:sz w:val="16"/>
              </w:rPr>
              <w:t>Cómo se estructura técnicamente.</w:t>
            </w:r>
          </w:p>
        </w:tc>
      </w:tr>
      <w:tr>
        <w:tc>
          <w:tcPr>
            <w:tcW w:type="dxa" w:w="51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Contratos datos/API/RBAC</w:t>
            </w:r>
          </w:p>
        </w:tc>
        <w:tc>
          <w:tcPr>
            <w:tcW w:type="dxa" w:w="51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Modelo, endpoints, errores y permisos.</w:t>
            </w:r>
          </w:p>
        </w:tc>
      </w:tr>
      <w:tr>
        <w:tc>
          <w:tcPr>
            <w:tcW w:type="dxa" w:w="51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r>
              <w:rPr>
                <w:sz w:val="16"/>
              </w:rPr>
              <w:t>Identidad digital y UX</w:t>
            </w:r>
          </w:p>
        </w:tc>
        <w:tc>
          <w:tcPr>
            <w:tcW w:type="dxa" w:w="51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r>
              <w:rPr>
                <w:sz w:val="16"/>
              </w:rPr>
              <w:t>Interacción, pantallas, componentes y accesibilidad.</w:t>
            </w:r>
          </w:p>
        </w:tc>
      </w:tr>
      <w:tr>
        <w:tc>
          <w:tcPr>
            <w:tcW w:type="dxa" w:w="51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Auditoría y plan</w:t>
            </w:r>
          </w:p>
        </w:tc>
        <w:tc>
          <w:tcPr>
            <w:tcW w:type="dxa" w:w="51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Orden, gates, pruebas y release.</w:t>
            </w:r>
          </w:p>
        </w:tc>
      </w:tr>
      <w:tr>
        <w:tc>
          <w:tcPr>
            <w:tcW w:type="dxa" w:w="51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r>
              <w:rPr>
                <w:sz w:val="16"/>
              </w:rPr>
              <w:t>Prompts Claude</w:t>
            </w:r>
          </w:p>
        </w:tc>
        <w:tc>
          <w:tcPr>
            <w:tcW w:type="dxa" w:w="51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  <w:shd w:fill="EAF0F6"/>
          </w:tcPr>
          <w:p>
            <w:r>
              <w:rPr>
                <w:sz w:val="16"/>
              </w:rPr>
              <w:t>Procedimiento para agentes.</w:t>
            </w:r>
          </w:p>
        </w:tc>
      </w:tr>
      <w:tr>
        <w:tc>
          <w:tcPr>
            <w:tcW w:type="dxa" w:w="51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Prototipo HTML</w:t>
            </w:r>
          </w:p>
        </w:tc>
        <w:tc>
          <w:tcPr>
            <w:tcW w:type="dxa" w:w="511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6"/>
              </w:rPr>
              <w:t>Referencia visual navegable.</w:t>
            </w:r>
          </w:p>
        </w:tc>
      </w:tr>
    </w:tbl>
    <w:p>
      <w:pPr>
        <w:pStyle w:val="Heading1"/>
      </w:pPr>
      <w:r>
        <w:t>6. Pendientes</w:t>
      </w:r>
    </w:p>
    <w:p>
      <w:pPr>
        <w:pStyle w:val="ListBullet"/>
      </w:pPr>
      <w:r>
        <w:t>DEC-005: Duración de `HELD` y reglas restantes de hospedaje</w:t>
      </w:r>
    </w:p>
    <w:p>
      <w:pPr>
        <w:pStyle w:val="ListBullet"/>
      </w:pPr>
      <w:r>
        <w:t>DEC-006: Menores, documento obligatorio y consentimiento</w:t>
      </w:r>
    </w:p>
    <w:p>
      <w:pPr>
        <w:pStyle w:val="ListBullet"/>
      </w:pPr>
      <w:r>
        <w:t>DEC-007: Cancelaciones y reembolsos</w:t>
      </w:r>
    </w:p>
    <w:p>
      <w:pPr>
        <w:pStyle w:val="ListBullet"/>
      </w:pPr>
      <w:r>
        <w:t>DEC-008: Tratamiento de sobrepagos</w:t>
      </w:r>
    </w:p>
    <w:p>
      <w:pPr>
        <w:pStyle w:val="ListBullet"/>
      </w:pPr>
      <w:r>
        <w:t>DEC-009: Fuente y momento del tipo de cambio</w:t>
      </w:r>
    </w:p>
    <w:p>
      <w:pPr>
        <w:pStyle w:val="ListBullet"/>
      </w:pPr>
      <w:r>
        <w:t>DEC-010: Equipo y tamaño exacto de credencial/recibo</w:t>
      </w:r>
    </w:p>
    <w:p>
      <w:pPr>
        <w:pStyle w:val="ListBullet"/>
      </w:pPr>
      <w:r>
        <w:t>DEC-011: Retención y anonimización</w:t>
      </w:r>
    </w:p>
    <w:p>
      <w:pPr>
        <w:pStyle w:val="ListBullet"/>
      </w:pPr>
      <w:r>
        <w:t>DEC-012: RPO/RTO y proveedor de backup</w:t>
      </w:r>
    </w:p>
    <w:p>
      <w:pPr>
        <w:pStyle w:val="ListBullet"/>
      </w:pPr>
      <w:r>
        <w:t>DEC-013: Verificación de email obligatoria</w:t>
      </w:r>
    </w:p>
    <w:p>
      <w:pPr>
        <w:pStyle w:val="ListBullet"/>
      </w:pPr>
      <w:r>
        <w:t>DEC-014: MFA para roles privilegiados</w:t>
      </w:r>
    </w:p>
    <w:p>
      <w:pPr>
        <w:pStyle w:val="ListBullet"/>
      </w:pPr>
      <w:r>
        <w:t>DEC-015: Cierre formal del alcance QR Bolivia; v1 ya es manual por DEC-002</w:t>
      </w:r>
    </w:p>
    <w:p>
      <w:pPr>
        <w:pStyle w:val="ListBullet"/>
      </w:pPr>
      <w:r>
        <w:t>DEC-016: Auth.js estable o alternativa</w:t>
      </w:r>
    </w:p>
    <w:p>
      <w:pPr>
        <w:pStyle w:val="ListBullet"/>
      </w:pPr>
      <w:r>
        <w:t>DEC-017: Alcance y frecuencia de Google Sheets</w:t>
      </w:r>
    </w:p>
    <w:sectPr w:rsidR="00FC693F" w:rsidRPr="0006063C" w:rsidSect="00034616">
      <w:footerReference w:type="default" r:id="rId9"/>
      <w:pgSz w:w="12240" w:h="15840"/>
      <w:pgMar w:top="1008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Sistema web ENCUENTRO · v2.7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5679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35679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5B232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b/>
      <w:color w:val="5B232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