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2F5597"/>
          <w:sz w:val="26"/>
        </w:rPr>
        <w:t>SISTEMA WEB ENCUENTRO</w:t>
      </w:r>
    </w:p>
    <w:p>
      <w:pPr>
        <w:pStyle w:val="Title"/>
        <w:jc w:val="center"/>
      </w:pPr>
      <w:r>
        <w:t>Corrección documental y política contable propuesta</w:t>
      </w:r>
    </w:p>
    <w:p>
      <w:pPr>
        <w:jc w:val="center"/>
      </w:pPr>
      <w:r>
        <w:rPr>
          <w:color w:val="595959"/>
          <w:sz w:val="26"/>
        </w:rPr>
        <w:t>Migración de requisitos v2.6 → v2.7 RC1 y matriz de asientos por operación</w:t>
      </w:r>
    </w:p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200"/>
      </w:tblGrid>
      <w:tr>
        <w:trPr>
          <w:tblHeader w:val="true"/>
        </w:trPr>
        <w:tc>
          <w:tcPr>
            <w:tcW w:type="dxa" w:w="5083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083"/>
            <w:shd w:fill="FCE4D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BORRADOR BLOQUEANTE — NO IMPLEMENTAR REGLAS CONTABLES SIN APROBACIÓN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200"/>
      </w:tblGrid>
      <w:tr>
        <w:trPr>
          <w:tblHeader w:val="true"/>
        </w:trPr>
        <w:tc>
          <w:tcPr>
            <w:tcW w:type="dxa" w:w="5083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HALLAZGO</w:t>
            </w:r>
          </w:p>
        </w:tc>
        <w:tc>
          <w:tcPr>
            <w:tcW w:type="dxa" w:w="5083"/>
            <w:shd w:fill="FFF2C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v2.6 declaraba 185 requisitos; v2.7 RC1 valida 65; diferencia inicial: 120 requisitos.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200"/>
      </w:tblGrid>
      <w:tr>
        <w:trPr>
          <w:tblHeader w:val="true"/>
        </w:trPr>
        <w:tc>
          <w:tcPr>
            <w:tcW w:type="dxa" w:w="5083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ALCANCE</w:t>
            </w:r>
          </w:p>
        </w:tc>
        <w:tc>
          <w:tcPr>
            <w:tcW w:type="dxa" w:w="5083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Contabilidad administrativa y control financiero del evento; no sustituye libros fiscales o legales.</w:t>
            </w:r>
          </w:p>
        </w:tc>
      </w:tr>
    </w:tbl>
    <w:p>
      <w:pPr>
        <w:spacing w:after="0"/>
      </w:pPr>
    </w:p>
    <w:p>
      <w:pPr>
        <w:spacing w:before="1100"/>
        <w:jc w:val="center"/>
      </w:pPr>
      <w:r>
        <w:rPr>
          <w:i/>
          <w:sz w:val="20"/>
        </w:rPr>
        <w:t>Preparado para revisión humana y ejecución controlada en Claude Code</w:t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spacing w:after="100"/>
      </w:pPr>
      <w:r>
        <w:t>El diagnóstico de Claude Code es técnicamente válido: la documentación actual presenta dos bloqueos independientes que deben resolverse antes de continuar con la automatización contable.</w:t>
      </w:r>
    </w:p>
    <w:p>
      <w:pPr>
        <w:pStyle w:val="ListNumber"/>
        <w:spacing w:after="40"/>
      </w:pPr>
      <w:r>
        <w:t>Restaurar y clasificar el catálogo completo de 185 requisitos de v2.6, sin inventar los 120 que no aparecen en la validación v2.7 RC1.</w:t>
      </w:r>
    </w:p>
    <w:p>
      <w:pPr>
        <w:pStyle w:val="ListNumber"/>
        <w:spacing w:after="40"/>
      </w:pPr>
      <w:r>
        <w:t>Aprobar una política contable que defina, por operación y estado, qué asiento se genera, qué importe se usa, cómo se revierte y cómo se evita la duplicación.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200"/>
      </w:tblGrid>
      <w:tr>
        <w:trPr>
          <w:tblHeader w:val="true"/>
        </w:trPr>
        <w:tc>
          <w:tcPr>
            <w:tcW w:type="dxa" w:w="5083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5083"/>
            <w:shd w:fill="FCE4D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 un asiento cuadre no demuestra que represente correctamente la operación económica.</w:t>
            </w:r>
          </w:p>
        </w:tc>
      </w:tr>
    </w:tbl>
    <w:p>
      <w:pPr>
        <w:spacing w:after="0"/>
      </w:pPr>
    </w:p>
    <w:p>
      <w:pPr>
        <w:pStyle w:val="Heading2"/>
      </w:pPr>
      <w:r>
        <w:t>1.1 Qué debe recibir Claude Code</w:t>
      </w:r>
    </w:p>
    <w:p>
      <w:pPr>
        <w:pStyle w:val="ListBullet"/>
        <w:spacing w:after="40"/>
      </w:pPr>
      <w:r>
        <w:t>Una instrucción bloqueante y ordenada.</w:t>
      </w:r>
    </w:p>
    <w:p>
      <w:pPr>
        <w:pStyle w:val="ListBullet"/>
        <w:spacing w:after="40"/>
      </w:pPr>
      <w:r>
        <w:t>Una plantilla de migración para los 185 requisitos.</w:t>
      </w:r>
    </w:p>
    <w:p>
      <w:pPr>
        <w:pStyle w:val="ListBullet"/>
        <w:spacing w:after="40"/>
      </w:pPr>
      <w:r>
        <w:t>Una política contable propuesta, marcada como no aprobada.</w:t>
      </w:r>
    </w:p>
    <w:p>
      <w:pPr>
        <w:pStyle w:val="ListBullet"/>
        <w:spacing w:after="40"/>
      </w:pPr>
      <w:r>
        <w:t>Un esquema JSON para reglas versionadas.</w:t>
      </w:r>
    </w:p>
    <w:p>
      <w:pPr>
        <w:pStyle w:val="ListBullet"/>
        <w:spacing w:after="40"/>
      </w:pPr>
      <w:r>
        <w:t>Un conjunto inicial de reglas DRAFT.</w:t>
      </w:r>
    </w:p>
    <w:p>
      <w:pPr>
        <w:pStyle w:val="ListBullet"/>
        <w:spacing w:after="40"/>
      </w:pPr>
      <w:r>
        <w:t>Un borrador de DEC que no tiene número definitivo.</w:t>
      </w:r>
    </w:p>
    <w:p>
      <w:pPr>
        <w:pStyle w:val="ListBullet"/>
        <w:spacing w:after="40"/>
      </w:pPr>
      <w:r>
        <w:t>Un formato de READINESS_REPORT previo a cualquier implementación.</w:t>
      </w:r>
    </w:p>
    <w:p>
      <w:pPr>
        <w:pStyle w:val="Heading2"/>
      </w:pPr>
      <w:r>
        <w:t>1.2 Qué no debe hacer Claude</w:t>
      </w:r>
    </w:p>
    <w:p>
      <w:pPr>
        <w:pStyle w:val="ListBullet"/>
        <w:spacing w:after="40"/>
      </w:pPr>
      <w:r>
        <w:t>No debe reconstruir por inferencia los 120 requisitos faltantes.</w:t>
      </w:r>
    </w:p>
    <w:p>
      <w:pPr>
        <w:pStyle w:val="ListBullet"/>
        <w:spacing w:after="40"/>
      </w:pPr>
      <w:r>
        <w:t>No debe renumerar requisitos existentes.</w:t>
      </w:r>
    </w:p>
    <w:p>
      <w:pPr>
        <w:pStyle w:val="ListBullet"/>
        <w:spacing w:after="40"/>
      </w:pPr>
      <w:r>
        <w:t>No debe codificar números de cuenta rígidos.</w:t>
      </w:r>
    </w:p>
    <w:p>
      <w:pPr>
        <w:pStyle w:val="ListBullet"/>
        <w:spacing w:after="40"/>
      </w:pPr>
      <w:r>
        <w:t>No debe activar asientos automáticos a partir de este borrador.</w:t>
      </w:r>
    </w:p>
    <w:p>
      <w:pPr>
        <w:pStyle w:val="ListBullet"/>
        <w:spacing w:after="40"/>
      </w:pPr>
      <w:r>
        <w:t>No debe declarar completada la fase contable mientras existan decisiones bloqueantes.</w:t>
      </w:r>
    </w:p>
    <w:p>
      <w:pPr>
        <w:pStyle w:val="Heading1"/>
      </w:pPr>
      <w:r>
        <w:t>2. Migración obligatoria de requisitos</w:t>
      </w:r>
    </w:p>
    <w:p>
      <w:r>
        <w:t>La diferencia 185 − 65 = 120 es una brecha de procedencia documental, no una lista de requisitos que pueda regenerarse desde el código. La fuente v2.6 debe localizarse y cada ID debe compararse contra la versión actual.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Clasificación</w:t>
            </w:r>
          </w:p>
        </w:tc>
        <w:tc>
          <w:tcPr>
            <w:tcW w:type="dxa" w:w="5083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CONSERVADO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Mismo significado y criterio de aceptación.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MODIFICADO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Conserva identidad, pero una decisión posterior cambió su comportamiento.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REEMPLAZADO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Otra regla aprobada lo sustituye y está identificada.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PENDIENTE_DE_MIGRACION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Existe en v2.6 y aún no está representado correctamente.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CONFLICTO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Dos fuentes vigentes indican comportamientos incompatibles.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ELIMINADO_POR_DECISION_APROBADA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Existe evidencia explícita de eliminación.</w:t>
            </w:r>
          </w:p>
        </w:tc>
      </w:tr>
    </w:tbl>
    <w:p>
      <w:r>
        <w:rPr>
          <w:b/>
        </w:rPr>
        <w:t xml:space="preserve">Archivos mínimos a sincronizar: </w:t>
      </w:r>
      <w:r>
        <w:t>requirements.md, requirements.json, trazabilidad, mapas de fase y prompt, plan de ejecución, documentos Word y validador.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200"/>
      </w:tblGrid>
      <w:tr>
        <w:trPr>
          <w:tblHeader w:val="true"/>
        </w:trPr>
        <w:tc>
          <w:tcPr>
            <w:tcW w:type="dxa" w:w="5083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BLOQUEO</w:t>
            </w:r>
          </w:p>
        </w:tc>
        <w:tc>
          <w:tcPr>
            <w:tcW w:type="dxa" w:w="5083"/>
            <w:shd w:fill="FCE4D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Si Claude no encuentra el catálogo fuente v2.6, debe reportar la ausencia y detener la migración.</w:t>
            </w:r>
          </w:p>
        </w:tc>
      </w:tr>
    </w:tbl>
    <w:p>
      <w:pPr>
        <w:spacing w:after="0"/>
      </w:pPr>
    </w:p>
    <w:p>
      <w:pPr>
        <w:pStyle w:val="Heading1"/>
      </w:pPr>
      <w:r>
        <w:t>3. Política contable propuesta</w:t>
      </w:r>
    </w:p>
    <w:p>
      <w:r>
        <w:t>La recomendación es una base de efectivo modificada. El objetivo no es construir un ERP fiscal, sino mantener control administrativo, trazabilidad, rendición, conciliación e inventarios del evento.</w:t>
      </w:r>
    </w:p>
    <w:p>
      <w:pPr>
        <w:pStyle w:val="Heading2"/>
      </w:pPr>
      <w:r>
        <w:t>3.1 Principios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Principio</w:t>
            </w:r>
          </w:p>
        </w:tc>
        <w:tc>
          <w:tcPr>
            <w:tcW w:type="dxa" w:w="5083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Definición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Reconocimiento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 creación de un cargo no genera asiento; el ingreso se reconoce al confirmar y aplicar el pago.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Anticipos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El pago confirmado todavía no aplicado o el sobrepago se registra como pasivo/saldo a favor.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Rendiciones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El desembolso a una comisión es un anticipo por rendir, no un gasto.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Donaciones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Las donaciones en especie y servicios son no monetarias y requieren valoración aprobada.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Inmutabilidad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Los asientos contabilizados no se editan; se revierten.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Idempotencia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 misma fuente y tipo de asiento no puede contabilizarse dos veces.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Configuración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Las reglas usan roles contables, no números de cuenta rígidos.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Alcance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sustituye contabilidad fiscal, tributaria o libros legales.</w:t>
            </w:r>
          </w:p>
        </w:tc>
      </w:tr>
    </w:tbl>
    <w:p>
      <w:pPr>
        <w:pStyle w:val="Heading1"/>
      </w:pPr>
      <w:r>
        <w:t>4. Matriz propuesta de asientos</w:t>
      </w:r>
    </w:p>
    <w:p>
      <w:r>
        <w:t>La siguiente matriz es una propuesta para revisión. No debe convertirse en código productivo hasta su aprobación mediante un DEC definitivo.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2232"/>
        <w:gridCol w:w="2376"/>
        <w:gridCol w:w="2232"/>
      </w:tblGrid>
      <w:tr>
        <w:trPr>
          <w:tblHeader w:val="true"/>
        </w:trPr>
        <w:tc>
          <w:tcPr>
            <w:tcW w:type="dxa" w:w="2541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Operación</w:t>
            </w:r>
          </w:p>
        </w:tc>
        <w:tc>
          <w:tcPr>
            <w:tcW w:type="dxa" w:w="2541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Débito</w:t>
            </w:r>
          </w:p>
        </w:tc>
        <w:tc>
          <w:tcPr>
            <w:tcW w:type="dxa" w:w="2541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Crédito</w:t>
            </w:r>
          </w:p>
        </w:tc>
        <w:tc>
          <w:tcPr>
            <w:tcW w:type="dxa" w:w="2541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Condición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Pago aplicado a inscripción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Cuenta financiera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Ingreso por inscripciones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Pago confirmado y asignado.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Pago aplicado a hospedaje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Cuenta financiera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Ingreso por hospedaje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Pago confirmado y asignado.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Pago aplicado a transporte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Cuenta financiera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Ingreso por transporte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Pago confirmado y asignado.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Pago no aplicado/sobrepago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Cuenta financiera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Anticipos/saldos a favor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reconocer ingreso.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Aplicación de anticipo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Anticipos/saldos a favor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Ingreso correspondiente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Sin nuevo movimiento de efectivo.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Donación monetaria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Caja o banco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Ingreso donaciones monetarias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Recepción confirmada.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Donación consumible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Inventario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Ingreso donaciones en especie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monetario; valoración aprobada.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Servicio donado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Gasto del servicio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Ingreso donaciones en especie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monetario; valoración aprobada.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Compra pagada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Gasto, inventario o activo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Caja o banco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Compra aprobada y pagada.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Compra pendiente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Gasto, inventario o activo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Cuentas por pagar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Obligación aprobada.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Pago a proveedor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Cuentas por pagar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Caja o banco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Pago confirmado.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Desembolso a responsable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Anticipos por rendir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Caja o banco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Entrega confirmada.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Rendición aprobada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Gasto, inventario o activo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Anticipos por rendir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Solo líneas aprobadas.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Devolución de anticipo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Caja o banco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Anticipos por rendir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Devolución confirmada.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Gasto propio aprobado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Gasto correspondiente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Por pagar al responsable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Reembolso aprobado.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Pago de reembolso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Por pagar al responsable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Caja o banco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Pago confirmado.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Consumo de inventario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Gasto alimentos/materiales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Inventario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Salida aprobada.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Pérdida/desperdicio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Gasto pérdida/desperdicio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Inventario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Ajuste con evidencia.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Transferencia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Cuenta financiera destino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Cuenta financiera origen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Transferencia conciliada.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Liquidación pasarela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Banco + comisión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Cuenta transitoria pasarela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Importes conciliados.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Diferencia conciliación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Cuenta definida por política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Cuenta financiera/transitoria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Ajuste aprobado.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Reversión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Inverso de créditos originales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Inverso de débitos originales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Asiento nuevo vinculado al original.</w:t>
            </w:r>
          </w:p>
        </w:tc>
      </w:tr>
    </w:tbl>
    <w:p>
      <w:pPr>
        <w:pStyle w:val="Heading1"/>
      </w:pPr>
      <w:r>
        <w:t>5. Operaciones que no generan asiento</w:t>
      </w:r>
    </w:p>
    <w:p>
      <w:pPr>
        <w:pStyle w:val="ListBullet"/>
        <w:spacing w:after="40"/>
      </w:pPr>
      <w:r>
        <w:t>Creación o edición de participante.</w:t>
      </w:r>
    </w:p>
    <w:p>
      <w:pPr>
        <w:pStyle w:val="ListBullet"/>
        <w:spacing w:after="40"/>
      </w:pPr>
      <w:r>
        <w:t>Creación de inscripción o cargo sin pago reconocido.</w:t>
      </w:r>
    </w:p>
    <w:p>
      <w:pPr>
        <w:pStyle w:val="ListBullet"/>
        <w:spacing w:after="40"/>
      </w:pPr>
      <w:r>
        <w:t>Reserva de hospedaje sin pago reconocido.</w:t>
      </w:r>
    </w:p>
    <w:p>
      <w:pPr>
        <w:pStyle w:val="ListBullet"/>
        <w:spacing w:after="40"/>
      </w:pPr>
      <w:r>
        <w:t>Compra en borrador no aprobada.</w:t>
      </w:r>
    </w:p>
    <w:p>
      <w:pPr>
        <w:pStyle w:val="ListBullet"/>
        <w:spacing w:after="40"/>
      </w:pPr>
      <w:r>
        <w:t>Rendición en borrador o enviada pero no aprobada.</w:t>
      </w:r>
    </w:p>
    <w:p>
      <w:pPr>
        <w:pStyle w:val="ListBullet"/>
        <w:spacing w:after="40"/>
      </w:pPr>
      <w:r>
        <w:t>Donación prometida pero no recibida.</w:t>
      </w:r>
    </w:p>
    <w:p>
      <w:pPr>
        <w:pStyle w:val="ListBullet"/>
        <w:spacing w:after="40"/>
      </w:pPr>
      <w:r>
        <w:t>Movimiento de inventario o conciliación en borrador.</w:t>
      </w:r>
    </w:p>
    <w:p>
      <w:pPr>
        <w:pStyle w:val="ListBullet"/>
        <w:spacing w:after="40"/>
      </w:pPr>
      <w:r>
        <w:t>Cambio de estado puramente técnico sin efecto económico.</w:t>
      </w:r>
    </w:p>
    <w:p>
      <w:pPr>
        <w:pStyle w:val="Heading1"/>
      </w:pPr>
      <w:r>
        <w:t>6. Reglas técnicas para el motor contable</w:t>
      </w:r>
    </w:p>
    <w:p>
      <w:pPr>
        <w:pStyle w:val="ListBullet"/>
        <w:spacing w:after="40"/>
      </w:pPr>
      <w:r>
        <w:t>Usar roles contables configurables y resolverlos contra el plan de cuentas del evento.</w:t>
      </w:r>
    </w:p>
    <w:p>
      <w:pPr>
        <w:pStyle w:val="ListBullet"/>
        <w:spacing w:after="40"/>
      </w:pPr>
      <w:r>
        <w:t>Conservar source_type, source_id, entry_kind, rule_code y version en cada asiento.</w:t>
      </w:r>
    </w:p>
    <w:p>
      <w:pPr>
        <w:pStyle w:val="ListBullet"/>
        <w:spacing w:after="40"/>
      </w:pPr>
      <w:r>
        <w:t>Aplicar la llave idempotente event_id + source_type + source_id + entry_kind + rule_version.</w:t>
      </w:r>
    </w:p>
    <w:p>
      <w:pPr>
        <w:pStyle w:val="ListBullet"/>
        <w:spacing w:after="40"/>
      </w:pPr>
      <w:r>
        <w:t>Prohibir edición de asientos contabilizados.</w:t>
      </w:r>
    </w:p>
    <w:p>
      <w:pPr>
        <w:pStyle w:val="ListBullet"/>
        <w:spacing w:after="40"/>
      </w:pPr>
      <w:r>
        <w:t>Exigir reversión vinculada al asiento original.</w:t>
      </w:r>
    </w:p>
    <w:p>
      <w:pPr>
        <w:pStyle w:val="ListBullet"/>
        <w:spacing w:after="40"/>
      </w:pPr>
      <w:r>
        <w:t>Bloquear multimoneda hasta una decisión aprobada.</w:t>
      </w:r>
    </w:p>
    <w:p>
      <w:pPr>
        <w:pStyle w:val="ListBullet"/>
        <w:spacing w:after="40"/>
      </w:pPr>
      <w:r>
        <w:t>Bloquear o limitar sobrepagos hasta aprobar devolución y compensación.</w:t>
      </w:r>
    </w:p>
    <w:p>
      <w:pPr>
        <w:pStyle w:val="ListBullet"/>
        <w:spacing w:after="40"/>
      </w:pPr>
      <w:r>
        <w:t>Bloquear contabilización ordinaria en periodos cerrados.</w:t>
      </w:r>
    </w:p>
    <w:p>
      <w:pPr>
        <w:pStyle w:val="Heading1"/>
      </w:pPr>
      <w:r>
        <w:t>7. Archivos que debe entregar a Claude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5083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Función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00_LEEME_PRIMERO.md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Orden de uso y restricciones del paquete.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01_INSTRUCCION_BLOQUEANTE_CLAUDE_CODE.md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Prompt principal para ejecutar en la raíz del repositorio.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accounting-policy-DRAFT.md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Política funcional propuesta.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accounting-rules.schema.json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Contrato formal de cada regla.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accounting-rules.DRAFT.json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Reglas iniciales machine-readable.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DEC-XXX-accounting-recognition-DRAFT.md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Borrador de decisión; el número debe verificarse.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requirement-migration...TEMPLATE.md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Matriz para clasificar los 185 requisitos.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READINESS_REPORT_TEMPLATE.md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Informe obligatorio antes de implementar.</w:t>
            </w:r>
          </w:p>
        </w:tc>
      </w:tr>
    </w:tbl>
    <w:p>
      <w:r>
        <w:rPr>
          <w:b/>
        </w:rPr>
        <w:t xml:space="preserve">Orden de ejecución recomendado: </w:t>
      </w:r>
      <w:r>
        <w:t>leer instrucción → inventariar fuentes → emitir READINESS_REPORT → completar migración → someter política/DEC a aprobación → recién entonces implementar.</w:t>
      </w:r>
    </w:p>
    <w:p>
      <w:pPr>
        <w:pStyle w:val="Heading1"/>
      </w:pPr>
      <w:r>
        <w:t>8. Lista de aprobación</w:t>
      </w:r>
    </w:p>
    <w:p>
      <w:pPr>
        <w:spacing w:after="40"/>
      </w:pPr>
      <w:r>
        <w:rPr>
          <w:b/>
        </w:rPr>
        <w:t xml:space="preserve">☐ </w:t>
      </w:r>
      <w:r>
        <w:t>Catálogo fuente v2.6 localizado y verificable.</w:t>
      </w:r>
    </w:p>
    <w:p>
      <w:pPr>
        <w:spacing w:after="40"/>
      </w:pPr>
      <w:r>
        <w:rPr>
          <w:b/>
        </w:rPr>
        <w:t xml:space="preserve">☐ </w:t>
      </w:r>
      <w:r>
        <w:t>Los 185 requisitos tienen exactamente una clasificación.</w:t>
      </w:r>
    </w:p>
    <w:p>
      <w:pPr>
        <w:spacing w:after="40"/>
      </w:pPr>
      <w:r>
        <w:rPr>
          <w:b/>
        </w:rPr>
        <w:t xml:space="preserve">☐ </w:t>
      </w:r>
      <w:r>
        <w:t>No existen IDs renumerados o duplicados sin decisión.</w:t>
      </w:r>
    </w:p>
    <w:p>
      <w:pPr>
        <w:spacing w:after="40"/>
      </w:pPr>
      <w:r>
        <w:rPr>
          <w:b/>
        </w:rPr>
        <w:t xml:space="preserve">☐ </w:t>
      </w:r>
      <w:r>
        <w:t>Política de reconocimiento aprobada.</w:t>
      </w:r>
    </w:p>
    <w:p>
      <w:pPr>
        <w:spacing w:after="40"/>
      </w:pPr>
      <w:r>
        <w:rPr>
          <w:b/>
        </w:rPr>
        <w:t xml:space="preserve">☐ </w:t>
      </w:r>
      <w:r>
        <w:t>Matriz de asientos completa y aprobada.</w:t>
      </w:r>
    </w:p>
    <w:p>
      <w:pPr>
        <w:spacing w:after="40"/>
      </w:pPr>
      <w:r>
        <w:rPr>
          <w:b/>
        </w:rPr>
        <w:t xml:space="preserve">☐ </w:t>
      </w:r>
      <w:r>
        <w:t>Plan de cuentas mínimo aprobado.</w:t>
      </w:r>
    </w:p>
    <w:p>
      <w:pPr>
        <w:spacing w:after="40"/>
      </w:pPr>
      <w:r>
        <w:rPr>
          <w:b/>
        </w:rPr>
        <w:t xml:space="preserve">☐ </w:t>
      </w:r>
      <w:r>
        <w:t>Reversiones e idempotencia aprobadas.</w:t>
      </w:r>
    </w:p>
    <w:p>
      <w:pPr>
        <w:spacing w:after="40"/>
      </w:pPr>
      <w:r>
        <w:rPr>
          <w:b/>
        </w:rPr>
        <w:t xml:space="preserve">☐ </w:t>
      </w:r>
      <w:r>
        <w:t>Multimoneda, sobrepagos y cierre resueltos o explícitamente bloqueados.</w:t>
      </w:r>
    </w:p>
    <w:p>
      <w:pPr>
        <w:spacing w:after="40"/>
      </w:pPr>
      <w:r>
        <w:rPr>
          <w:b/>
        </w:rPr>
        <w:t xml:space="preserve">☐ </w:t>
      </w:r>
      <w:r>
        <w:t>Pruebas automatizadas y validador documental definidos.</w:t>
      </w:r>
    </w:p>
    <w:p>
      <w:pPr>
        <w:spacing w:after="40"/>
      </w:pPr>
      <w:r>
        <w:rPr>
          <w:b/>
        </w:rPr>
        <w:t xml:space="preserve">☐ </w:t>
      </w:r>
      <w:r>
        <w:t>Plan de migración y reversión de datos aprobado.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200"/>
      </w:tblGrid>
      <w:tr>
        <w:trPr>
          <w:tblHeader w:val="true"/>
        </w:trPr>
        <w:tc>
          <w:tcPr>
            <w:tcW w:type="dxa" w:w="5083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SALIDA</w:t>
            </w:r>
          </w:p>
        </w:tc>
        <w:tc>
          <w:tcPr>
            <w:tcW w:type="dxa" w:w="5083"/>
            <w:shd w:fill="FCE4D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Hasta completar esta lista, el estado correcto es BLOCKED o READY_FOR_APPROVAL, nunca READY_FOR_IMPLEMENTATION.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Anexo A. Instrucción abreviada para iniciar en Claude Code</w:t>
      </w:r>
    </w:p>
    <w:p>
      <w:r>
        <w:t>Después de copiar el paquete al repositorio, use este mensaje:</w:t>
      </w:r>
    </w:p>
    <w:p>
      <w:pPr>
        <w:spacing w:before="80" w:after="80"/>
        <w:ind w:left="360" w:right="360"/>
      </w:pPr>
      <w:r>
        <w:rPr>
          <w:rFonts w:ascii="Liberation Mono" w:hAnsi="Liberation Mono"/>
          <w:sz w:val="17"/>
        </w:rPr>
        <w:t>Lee primero `01_INSTRUCCION_BLOQUEANTE_CLAUDE_CODE.md` y trata todos los archivos `DRAFT` como propuestas no aprobadas. No modifiques el motor contable. Inventaría las fuentes v2.6 y v2.7, completa el READINESS_REPORT y presenta la matriz de migración de los 185 requisitos. Si falta la fuente v2.6, detente y reporta el faltante exacto. Después, compara la política y las reglas contables propuestas con el código actual y enumera conflictos, decisiones pendientes y archivos que modificarías. Espera aprobación antes de implementar.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5"/>
      </w:rPr>
      <w:t>Sistema web ENCUENTRO · Corrección documental y contable · v2.7 RC1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Corrección documental y política contable propuesta — Sistema web ENCUENTRO</dc:title>
  <dc:subject>Migración de requisitos v2.6 a v2.7 RC1 y matriz de asientos</dc:subject>
  <dc:creator>Sistema web ENCUENTRO</dc:creator>
  <cp:keywords>ENCUENTRO, requisitos, contabilidad, Claude Code, partida doble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