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9D7A6" w14:textId="77777777" w:rsidR="001F1916" w:rsidRDefault="001F1916" w:rsidP="002507AC">
      <w:pPr>
        <w:jc w:val="both"/>
      </w:pPr>
    </w:p>
    <w:p w14:paraId="0034F65F" w14:textId="77777777" w:rsidR="001F1916" w:rsidRPr="00824196" w:rsidRDefault="001F1916" w:rsidP="001F1916">
      <w:pPr>
        <w:pStyle w:val="Title"/>
        <w:spacing w:line="276" w:lineRule="auto"/>
        <w:jc w:val="center"/>
        <w:rPr>
          <w:b/>
          <w:bCs/>
        </w:rPr>
      </w:pPr>
      <w:r w:rsidRPr="00824196">
        <w:rPr>
          <w:b/>
          <w:bCs/>
        </w:rPr>
        <w:t>Article Summary</w:t>
      </w:r>
    </w:p>
    <w:p w14:paraId="0ADC4BD1" w14:textId="50F8158C" w:rsidR="001F1916" w:rsidRPr="00ED548D" w:rsidRDefault="001F1916" w:rsidP="001F1916">
      <w:pPr>
        <w:pStyle w:val="Heading1"/>
        <w:shd w:val="clear" w:color="auto" w:fill="FFFFFF"/>
        <w:spacing w:before="0" w:beforeAutospacing="0" w:after="0" w:afterAutospacing="0" w:line="570" w:lineRule="atLeast"/>
        <w:rPr>
          <w:rFonts w:ascii="Arial" w:hAnsi="Arial" w:cs="Arial"/>
          <w:color w:val="333333"/>
        </w:rPr>
      </w:pPr>
      <w:r w:rsidRPr="002507AC">
        <w:rPr>
          <w:sz w:val="28"/>
          <w:szCs w:val="28"/>
        </w:rPr>
        <w:t xml:space="preserve">Title: </w:t>
      </w:r>
      <w:r w:rsidRPr="001F1916">
        <w:rPr>
          <w:rFonts w:asciiTheme="minorHAnsi" w:eastAsiaTheme="minorEastAsia" w:hAnsiTheme="minorHAnsi" w:cstheme="minorBidi"/>
          <w:b w:val="0"/>
          <w:bCs w:val="0"/>
          <w:i/>
          <w:iCs/>
          <w:kern w:val="0"/>
          <w:sz w:val="28"/>
          <w:szCs w:val="28"/>
        </w:rPr>
        <w:t>Australian electricity market analysis report to 2020 and 2030</w:t>
      </w:r>
    </w:p>
    <w:p w14:paraId="40555856" w14:textId="77777777" w:rsidR="001F1916" w:rsidRPr="002507AC" w:rsidRDefault="001F1916" w:rsidP="001F1916">
      <w:pPr>
        <w:spacing w:line="360" w:lineRule="auto"/>
        <w:jc w:val="both"/>
        <w:rPr>
          <w:b/>
          <w:bCs/>
          <w:sz w:val="28"/>
          <w:szCs w:val="28"/>
        </w:rPr>
      </w:pPr>
    </w:p>
    <w:p w14:paraId="252AA111" w14:textId="40090DDE" w:rsidR="001F1916" w:rsidRPr="002507AC" w:rsidRDefault="001F1916" w:rsidP="001F1916">
      <w:pPr>
        <w:spacing w:line="360" w:lineRule="auto"/>
        <w:jc w:val="both"/>
        <w:rPr>
          <w:b/>
          <w:bCs/>
          <w:sz w:val="28"/>
          <w:szCs w:val="28"/>
        </w:rPr>
      </w:pPr>
      <w:r w:rsidRPr="002507AC">
        <w:rPr>
          <w:b/>
          <w:bCs/>
          <w:sz w:val="28"/>
          <w:szCs w:val="28"/>
        </w:rPr>
        <w:t xml:space="preserve">Author(s): </w:t>
      </w:r>
      <w:r w:rsidRPr="001F1916">
        <w:rPr>
          <w:i/>
          <w:iCs/>
          <w:sz w:val="28"/>
          <w:szCs w:val="28"/>
        </w:rPr>
        <w:t xml:space="preserve">Thomas S. Brinsmead, Jenny </w:t>
      </w:r>
      <w:proofErr w:type="gramStart"/>
      <w:r w:rsidRPr="001F1916">
        <w:rPr>
          <w:i/>
          <w:iCs/>
          <w:sz w:val="28"/>
          <w:szCs w:val="28"/>
        </w:rPr>
        <w:t>Hayward</w:t>
      </w:r>
      <w:proofErr w:type="gramEnd"/>
      <w:r w:rsidRPr="001F1916">
        <w:rPr>
          <w:i/>
          <w:iCs/>
          <w:sz w:val="28"/>
          <w:szCs w:val="28"/>
        </w:rPr>
        <w:t xml:space="preserve"> and Paul Graham</w:t>
      </w:r>
    </w:p>
    <w:p w14:paraId="6F71DED1" w14:textId="2C9F3989" w:rsidR="001F1916" w:rsidRPr="00ED548D" w:rsidRDefault="001F1916" w:rsidP="001F1916">
      <w:pPr>
        <w:shd w:val="clear" w:color="auto" w:fill="FFFFFF"/>
        <w:spacing w:before="100" w:beforeAutospacing="1" w:after="100" w:afterAutospacing="1"/>
        <w:jc w:val="both"/>
        <w:rPr>
          <w:i/>
          <w:iCs/>
          <w:sz w:val="28"/>
          <w:szCs w:val="28"/>
        </w:rPr>
      </w:pPr>
      <w:r w:rsidRPr="00ED548D">
        <w:rPr>
          <w:b/>
          <w:bCs/>
          <w:sz w:val="28"/>
          <w:szCs w:val="28"/>
        </w:rPr>
        <w:t xml:space="preserve">Keywords: </w:t>
      </w:r>
      <w:r w:rsidRPr="001F1916">
        <w:rPr>
          <w:i/>
          <w:iCs/>
          <w:sz w:val="28"/>
          <w:szCs w:val="28"/>
        </w:rPr>
        <w:t>Electricity Demand, Electricity Generation Costs</w:t>
      </w:r>
      <w:r>
        <w:rPr>
          <w:i/>
          <w:iCs/>
          <w:sz w:val="28"/>
          <w:szCs w:val="28"/>
        </w:rPr>
        <w:t>, Electricity Market Trend</w:t>
      </w:r>
    </w:p>
    <w:p w14:paraId="7E7DE95D" w14:textId="2078E1B3" w:rsidR="001F1916" w:rsidRPr="002507AC" w:rsidRDefault="001F1916" w:rsidP="001F1916">
      <w:pPr>
        <w:spacing w:line="360" w:lineRule="auto"/>
        <w:jc w:val="both"/>
        <w:rPr>
          <w:b/>
          <w:bCs/>
          <w:sz w:val="28"/>
          <w:szCs w:val="28"/>
        </w:rPr>
      </w:pPr>
      <w:r w:rsidRPr="002507AC">
        <w:rPr>
          <w:b/>
          <w:bCs/>
          <w:sz w:val="28"/>
          <w:szCs w:val="28"/>
        </w:rPr>
        <w:t xml:space="preserve">Accessed: </w:t>
      </w:r>
      <w:r w:rsidRPr="00ED548D">
        <w:rPr>
          <w:i/>
          <w:iCs/>
          <w:sz w:val="28"/>
          <w:szCs w:val="28"/>
        </w:rPr>
        <w:t xml:space="preserve">December </w:t>
      </w:r>
      <w:r>
        <w:rPr>
          <w:i/>
          <w:iCs/>
          <w:sz w:val="28"/>
          <w:szCs w:val="28"/>
        </w:rPr>
        <w:t>2014</w:t>
      </w:r>
    </w:p>
    <w:p w14:paraId="3F6E954A" w14:textId="77777777" w:rsidR="001F1916" w:rsidRDefault="001F1916" w:rsidP="001F1916">
      <w:pPr>
        <w:jc w:val="both"/>
      </w:pPr>
    </w:p>
    <w:tbl>
      <w:tblPr>
        <w:tblStyle w:val="GridTable4-Accent4"/>
        <w:tblW w:w="9392" w:type="dxa"/>
        <w:jc w:val="center"/>
        <w:tblLook w:val="04A0" w:firstRow="1" w:lastRow="0" w:firstColumn="1" w:lastColumn="0" w:noHBand="0" w:noVBand="1"/>
      </w:tblPr>
      <w:tblGrid>
        <w:gridCol w:w="9392"/>
      </w:tblGrid>
      <w:tr w:rsidR="001F1916" w14:paraId="1A85D7F4" w14:textId="77777777" w:rsidTr="0041284C">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9392" w:type="dxa"/>
          </w:tcPr>
          <w:p w14:paraId="1061FF25" w14:textId="77777777" w:rsidR="001F1916" w:rsidRPr="00824196" w:rsidRDefault="001F1916" w:rsidP="0041284C">
            <w:pPr>
              <w:jc w:val="center"/>
              <w:rPr>
                <w:sz w:val="28"/>
                <w:szCs w:val="28"/>
              </w:rPr>
            </w:pPr>
            <w:r w:rsidRPr="00824196">
              <w:rPr>
                <w:sz w:val="28"/>
                <w:szCs w:val="28"/>
              </w:rPr>
              <w:t>Key Findings</w:t>
            </w:r>
          </w:p>
        </w:tc>
      </w:tr>
      <w:tr w:rsidR="001F1916" w14:paraId="5B7D69ED" w14:textId="77777777" w:rsidTr="0041284C">
        <w:trPr>
          <w:cnfStyle w:val="000000100000" w:firstRow="0" w:lastRow="0" w:firstColumn="0" w:lastColumn="0" w:oddVBand="0" w:evenVBand="0" w:oddHBand="1" w:evenHBand="0" w:firstRowFirstColumn="0" w:firstRowLastColumn="0" w:lastRowFirstColumn="0" w:lastRowLastColumn="0"/>
          <w:trHeight w:val="2960"/>
          <w:jc w:val="center"/>
        </w:trPr>
        <w:tc>
          <w:tcPr>
            <w:cnfStyle w:val="001000000000" w:firstRow="0" w:lastRow="0" w:firstColumn="1" w:lastColumn="0" w:oddVBand="0" w:evenVBand="0" w:oddHBand="0" w:evenHBand="0" w:firstRowFirstColumn="0" w:firstRowLastColumn="0" w:lastRowFirstColumn="0" w:lastRowLastColumn="0"/>
            <w:tcW w:w="9392" w:type="dxa"/>
          </w:tcPr>
          <w:p w14:paraId="758EB193" w14:textId="193ACE42" w:rsidR="001F1916" w:rsidRDefault="001F1916" w:rsidP="0041284C">
            <w:pPr>
              <w:jc w:val="both"/>
              <w:rPr>
                <w:b w:val="0"/>
                <w:bCs w:val="0"/>
              </w:rPr>
            </w:pPr>
            <w:bookmarkStart w:id="0" w:name="OLE_LINK141"/>
            <w:r>
              <w:t>This study</w:t>
            </w:r>
            <w:r w:rsidRPr="001F1916">
              <w:t xml:space="preserve"> </w:t>
            </w:r>
            <w:r>
              <w:t>argues</w:t>
            </w:r>
            <w:r w:rsidRPr="001F1916">
              <w:t xml:space="preserve"> that the increasing penetration of renewable energy sources in the National Electricity Market </w:t>
            </w:r>
            <w:r>
              <w:t>(</w:t>
            </w:r>
            <w:r w:rsidRPr="001F1916">
              <w:t>NEM</w:t>
            </w:r>
            <w:r>
              <w:t>)</w:t>
            </w:r>
            <w:r w:rsidRPr="001F1916">
              <w:t xml:space="preserve"> will require significant changes to the market structure and regulatory framework </w:t>
            </w:r>
            <w:r>
              <w:t>to</w:t>
            </w:r>
            <w:r w:rsidRPr="001F1916">
              <w:t xml:space="preserve"> accommodate the intermittent nature of renewable generation.</w:t>
            </w:r>
            <w:bookmarkEnd w:id="0"/>
            <w:r>
              <w:t xml:space="preserve"> And mention that the</w:t>
            </w:r>
            <w:r w:rsidRPr="001F1916">
              <w:t xml:space="preserve"> electricity demand in the </w:t>
            </w:r>
            <w:bookmarkStart w:id="1" w:name="OLE_LINK142"/>
            <w:r w:rsidRPr="001F1916">
              <w:t xml:space="preserve">National Electricity Market </w:t>
            </w:r>
            <w:bookmarkEnd w:id="1"/>
            <w:r w:rsidRPr="001F1916">
              <w:t>(NEM) will remain relatively stable over the next decade, with a slight decline in demand in the short term due to energy efficiency improvements and a shift towards distributed generation.</w:t>
            </w:r>
            <w:r>
              <w:t xml:space="preserve"> Finally, they </w:t>
            </w:r>
            <w:r w:rsidRPr="001F1916">
              <w:t xml:space="preserve">suggest that there is a need for greater coordination between the various state and federal governments in Australia </w:t>
            </w:r>
            <w:r>
              <w:t>to</w:t>
            </w:r>
            <w:r w:rsidRPr="001F1916">
              <w:t xml:space="preserve"> achieve a more integrated and efficient electricity market.</w:t>
            </w:r>
          </w:p>
          <w:p w14:paraId="1BBA773F" w14:textId="3F6735FB" w:rsidR="001F1916" w:rsidRDefault="001F1916" w:rsidP="0041284C">
            <w:pPr>
              <w:jc w:val="both"/>
            </w:pPr>
          </w:p>
        </w:tc>
      </w:tr>
    </w:tbl>
    <w:p w14:paraId="75559238" w14:textId="77777777" w:rsidR="001F1916" w:rsidRDefault="001F1916" w:rsidP="001F1916">
      <w:pPr>
        <w:jc w:val="both"/>
      </w:pPr>
    </w:p>
    <w:tbl>
      <w:tblPr>
        <w:tblStyle w:val="GridTable4-Accent4"/>
        <w:tblW w:w="9413" w:type="dxa"/>
        <w:jc w:val="center"/>
        <w:tblLook w:val="04A0" w:firstRow="1" w:lastRow="0" w:firstColumn="1" w:lastColumn="0" w:noHBand="0" w:noVBand="1"/>
      </w:tblPr>
      <w:tblGrid>
        <w:gridCol w:w="9413"/>
      </w:tblGrid>
      <w:tr w:rsidR="001F1916" w14:paraId="58CFED28" w14:textId="77777777" w:rsidTr="0041284C">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9413" w:type="dxa"/>
          </w:tcPr>
          <w:p w14:paraId="6ED76879" w14:textId="77777777" w:rsidR="001F1916" w:rsidRPr="00824196" w:rsidRDefault="001F1916" w:rsidP="0041284C">
            <w:pPr>
              <w:jc w:val="center"/>
              <w:rPr>
                <w:sz w:val="28"/>
                <w:szCs w:val="28"/>
              </w:rPr>
            </w:pPr>
            <w:r w:rsidRPr="00824196">
              <w:rPr>
                <w:sz w:val="28"/>
                <w:szCs w:val="28"/>
              </w:rPr>
              <w:t>Quotes</w:t>
            </w:r>
          </w:p>
        </w:tc>
      </w:tr>
      <w:tr w:rsidR="001F1916" w14:paraId="4D8E1790" w14:textId="77777777" w:rsidTr="0041284C">
        <w:trPr>
          <w:cnfStyle w:val="000000100000" w:firstRow="0" w:lastRow="0" w:firstColumn="0" w:lastColumn="0" w:oddVBand="0" w:evenVBand="0" w:oddHBand="1" w:evenHBand="0" w:firstRowFirstColumn="0" w:firstRowLastColumn="0" w:lastRowFirstColumn="0" w:lastRowLastColumn="0"/>
          <w:trHeight w:val="2499"/>
          <w:jc w:val="center"/>
        </w:trPr>
        <w:tc>
          <w:tcPr>
            <w:cnfStyle w:val="001000000000" w:firstRow="0" w:lastRow="0" w:firstColumn="1" w:lastColumn="0" w:oddVBand="0" w:evenVBand="0" w:oddHBand="0" w:evenHBand="0" w:firstRowFirstColumn="0" w:firstRowLastColumn="0" w:lastRowFirstColumn="0" w:lastRowLastColumn="0"/>
            <w:tcW w:w="9413" w:type="dxa"/>
          </w:tcPr>
          <w:p w14:paraId="3BC9F378" w14:textId="09F4BDC0" w:rsidR="001F1916" w:rsidRDefault="001F1916" w:rsidP="0041284C">
            <w:pPr>
              <w:jc w:val="both"/>
            </w:pPr>
            <w:r w:rsidRPr="001F1916">
              <w:t>Brinsmead, T. S., Hayward, J., &amp; Graham, P. (2014). Australian electricity market analysis report to 2020 and 2030. CSIRO Technical Report No. EP141067.</w:t>
            </w:r>
          </w:p>
        </w:tc>
      </w:tr>
    </w:tbl>
    <w:p w14:paraId="5F2AC867" w14:textId="77777777" w:rsidR="001F1916" w:rsidRDefault="001F1916" w:rsidP="001F1916">
      <w:pPr>
        <w:jc w:val="both"/>
      </w:pPr>
    </w:p>
    <w:p w14:paraId="0756F023" w14:textId="77777777" w:rsidR="001F1916" w:rsidRDefault="001F1916" w:rsidP="001F1916">
      <w:pPr>
        <w:jc w:val="both"/>
      </w:pPr>
    </w:p>
    <w:p w14:paraId="2D472497" w14:textId="77777777" w:rsidR="001F1916" w:rsidRDefault="001F1916" w:rsidP="001F1916">
      <w:pPr>
        <w:jc w:val="both"/>
      </w:pPr>
    </w:p>
    <w:p w14:paraId="1D537F56" w14:textId="77777777" w:rsidR="001F1916" w:rsidRDefault="001F1916" w:rsidP="001F1916">
      <w:pPr>
        <w:jc w:val="both"/>
      </w:pPr>
    </w:p>
    <w:p w14:paraId="2748CED9" w14:textId="77777777" w:rsidR="001F1916" w:rsidRDefault="001F1916" w:rsidP="001F1916">
      <w:pPr>
        <w:jc w:val="both"/>
      </w:pPr>
    </w:p>
    <w:p w14:paraId="2F34350C" w14:textId="77777777" w:rsidR="001F1916" w:rsidRDefault="001F1916" w:rsidP="001F1916">
      <w:pPr>
        <w:jc w:val="both"/>
      </w:pPr>
    </w:p>
    <w:p w14:paraId="00E3DB84" w14:textId="77777777" w:rsidR="001F1916" w:rsidRDefault="001F1916" w:rsidP="001F1916">
      <w:pPr>
        <w:jc w:val="both"/>
      </w:pPr>
    </w:p>
    <w:tbl>
      <w:tblPr>
        <w:tblStyle w:val="GridTable4-Accent4"/>
        <w:tblpPr w:leftFromText="180" w:rightFromText="180" w:vertAnchor="text" w:horzAnchor="margin" w:tblpXSpec="center" w:tblpY="5"/>
        <w:tblW w:w="9437" w:type="dxa"/>
        <w:tblLook w:val="04A0" w:firstRow="1" w:lastRow="0" w:firstColumn="1" w:lastColumn="0" w:noHBand="0" w:noVBand="1"/>
      </w:tblPr>
      <w:tblGrid>
        <w:gridCol w:w="4673"/>
        <w:gridCol w:w="4764"/>
      </w:tblGrid>
      <w:tr w:rsidR="001F1916" w14:paraId="57C8C36D" w14:textId="77777777" w:rsidTr="0041284C">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673" w:type="dxa"/>
          </w:tcPr>
          <w:p w14:paraId="4068F560" w14:textId="77777777" w:rsidR="001F1916" w:rsidRPr="00DA24D9" w:rsidRDefault="001F1916" w:rsidP="0041284C">
            <w:pPr>
              <w:jc w:val="center"/>
              <w:rPr>
                <w:sz w:val="28"/>
                <w:szCs w:val="28"/>
              </w:rPr>
            </w:pPr>
            <w:r w:rsidRPr="00DA24D9">
              <w:rPr>
                <w:sz w:val="28"/>
                <w:szCs w:val="28"/>
              </w:rPr>
              <w:t>Strengths</w:t>
            </w:r>
          </w:p>
        </w:tc>
        <w:tc>
          <w:tcPr>
            <w:tcW w:w="4764" w:type="dxa"/>
          </w:tcPr>
          <w:p w14:paraId="159A33FA" w14:textId="77777777" w:rsidR="001F1916" w:rsidRPr="00DA24D9" w:rsidRDefault="001F1916" w:rsidP="0041284C">
            <w:pPr>
              <w:jc w:val="center"/>
              <w:cnfStyle w:val="100000000000" w:firstRow="1" w:lastRow="0" w:firstColumn="0" w:lastColumn="0" w:oddVBand="0" w:evenVBand="0" w:oddHBand="0" w:evenHBand="0" w:firstRowFirstColumn="0" w:firstRowLastColumn="0" w:lastRowFirstColumn="0" w:lastRowLastColumn="0"/>
              <w:rPr>
                <w:sz w:val="28"/>
                <w:szCs w:val="28"/>
              </w:rPr>
            </w:pPr>
            <w:r w:rsidRPr="00DA24D9">
              <w:rPr>
                <w:sz w:val="28"/>
                <w:szCs w:val="28"/>
              </w:rPr>
              <w:t>Limitations</w:t>
            </w:r>
          </w:p>
        </w:tc>
      </w:tr>
      <w:tr w:rsidR="001F1916" w14:paraId="49874470" w14:textId="77777777" w:rsidTr="0041284C">
        <w:trPr>
          <w:cnfStyle w:val="000000100000" w:firstRow="0" w:lastRow="0" w:firstColumn="0" w:lastColumn="0" w:oddVBand="0" w:evenVBand="0" w:oddHBand="1" w:evenHBand="0" w:firstRowFirstColumn="0" w:firstRowLastColumn="0" w:lastRowFirstColumn="0" w:lastRowLastColumn="0"/>
          <w:trHeight w:val="3222"/>
        </w:trPr>
        <w:tc>
          <w:tcPr>
            <w:cnfStyle w:val="001000000000" w:firstRow="0" w:lastRow="0" w:firstColumn="1" w:lastColumn="0" w:oddVBand="0" w:evenVBand="0" w:oddHBand="0" w:evenHBand="0" w:firstRowFirstColumn="0" w:firstRowLastColumn="0" w:lastRowFirstColumn="0" w:lastRowLastColumn="0"/>
            <w:tcW w:w="4673" w:type="dxa"/>
          </w:tcPr>
          <w:p w14:paraId="5FCF33D4" w14:textId="77777777" w:rsidR="001F1916" w:rsidRPr="001F1916" w:rsidRDefault="001F1916" w:rsidP="0041284C">
            <w:pPr>
              <w:pStyle w:val="ListParagraph"/>
              <w:numPr>
                <w:ilvl w:val="0"/>
                <w:numId w:val="3"/>
              </w:numPr>
              <w:jc w:val="both"/>
            </w:pPr>
            <w:r w:rsidRPr="001F1916">
              <w:lastRenderedPageBreak/>
              <w:t>The article provides a comprehensive analysis of the Australian electricity market, including trends in electricity demand, generation, and prices, as well as the impact of policy and regulatory changes.</w:t>
            </w:r>
          </w:p>
          <w:p w14:paraId="67F13F70" w14:textId="77777777" w:rsidR="001F1916" w:rsidRPr="001F1916" w:rsidRDefault="001F1916" w:rsidP="0041284C">
            <w:pPr>
              <w:pStyle w:val="ListParagraph"/>
              <w:numPr>
                <w:ilvl w:val="0"/>
                <w:numId w:val="3"/>
              </w:numPr>
              <w:jc w:val="both"/>
            </w:pPr>
            <w:r w:rsidRPr="001F1916">
              <w:t>The authors draw on a wide range of data sources, including industry reports, government publications, and academic research, to support their analysis and projections.</w:t>
            </w:r>
          </w:p>
          <w:p w14:paraId="2763E328" w14:textId="230A54D2" w:rsidR="001F1916" w:rsidRPr="00ED548D" w:rsidRDefault="001F1916" w:rsidP="0041284C">
            <w:pPr>
              <w:pStyle w:val="ListParagraph"/>
              <w:numPr>
                <w:ilvl w:val="0"/>
                <w:numId w:val="3"/>
              </w:numPr>
              <w:jc w:val="both"/>
            </w:pPr>
            <w:r w:rsidRPr="001F1916">
              <w:t>The article provides valuable insights into the challenges and opportunities facing the Australian electricity market in the coming years, particularly with regards to the increasing penetration of renewable energy and distributed generation.</w:t>
            </w:r>
          </w:p>
        </w:tc>
        <w:tc>
          <w:tcPr>
            <w:tcW w:w="4764" w:type="dxa"/>
          </w:tcPr>
          <w:p w14:paraId="0848FC26" w14:textId="72FDF52D" w:rsidR="001F1916" w:rsidRPr="001F1916" w:rsidRDefault="001F1916" w:rsidP="0041284C">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pPr>
            <w:bookmarkStart w:id="2" w:name="OLE_LINK143"/>
            <w:r w:rsidRPr="001F1916">
              <w:rPr>
                <w:b/>
                <w:bCs/>
              </w:rPr>
              <w:t>The projections and analysis presented in the report are based on a range of assumptions about future developments in the electricity market and may be subject to uncertainty and variation depending on how these assumptions play out in practice.</w:t>
            </w:r>
          </w:p>
          <w:bookmarkEnd w:id="2"/>
          <w:p w14:paraId="524F0A9B" w14:textId="77777777" w:rsidR="001F1916" w:rsidRPr="001F1916" w:rsidRDefault="001F1916" w:rsidP="0041284C">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b/>
                <w:bCs/>
              </w:rPr>
            </w:pPr>
            <w:r w:rsidRPr="001F1916">
              <w:rPr>
                <w:b/>
                <w:bCs/>
              </w:rPr>
              <w:t>The report is focused primarily on the short to medium-term outlook for the electricity market and does not address some of the longer-term challenges and uncertainties facing the industry, such as the impact of climate change on electricity demand and generation.</w:t>
            </w:r>
          </w:p>
          <w:p w14:paraId="312091D4" w14:textId="12BA3E78" w:rsidR="001F1916" w:rsidRDefault="001F1916" w:rsidP="0041284C">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pPr>
            <w:r w:rsidRPr="001F1916">
              <w:rPr>
                <w:b/>
                <w:bCs/>
              </w:rPr>
              <w:t>The report does not discuss in detail the potential social and environmental impacts of different scenarios for the future of the electricity market, which may be of concern to some stakeholders.</w:t>
            </w:r>
          </w:p>
        </w:tc>
      </w:tr>
    </w:tbl>
    <w:p w14:paraId="44C622E1" w14:textId="77777777" w:rsidR="001F1916" w:rsidRDefault="001F1916" w:rsidP="002507AC">
      <w:pPr>
        <w:jc w:val="both"/>
      </w:pPr>
    </w:p>
    <w:sectPr w:rsidR="001F19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76BF8"/>
    <w:multiLevelType w:val="multilevel"/>
    <w:tmpl w:val="9922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440DC"/>
    <w:multiLevelType w:val="hybridMultilevel"/>
    <w:tmpl w:val="E47645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C943D07"/>
    <w:multiLevelType w:val="hybridMultilevel"/>
    <w:tmpl w:val="EF4023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7AB3468"/>
    <w:multiLevelType w:val="hybridMultilevel"/>
    <w:tmpl w:val="5C86E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C16B18"/>
    <w:multiLevelType w:val="hybridMultilevel"/>
    <w:tmpl w:val="A2AE5B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F3A70BF"/>
    <w:multiLevelType w:val="hybridMultilevel"/>
    <w:tmpl w:val="4C7828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4CD"/>
    <w:rsid w:val="000F6C94"/>
    <w:rsid w:val="001F1916"/>
    <w:rsid w:val="0022425E"/>
    <w:rsid w:val="00240942"/>
    <w:rsid w:val="002507AC"/>
    <w:rsid w:val="00272BC2"/>
    <w:rsid w:val="003B3D33"/>
    <w:rsid w:val="003F7F2D"/>
    <w:rsid w:val="005814CD"/>
    <w:rsid w:val="00824196"/>
    <w:rsid w:val="0083280A"/>
    <w:rsid w:val="00DA24D9"/>
    <w:rsid w:val="00E2123E"/>
    <w:rsid w:val="00E55536"/>
    <w:rsid w:val="00ED548D"/>
    <w:rsid w:val="00EF744B"/>
    <w:rsid w:val="00F32D2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DF2861"/>
  <w15:chartTrackingRefBased/>
  <w15:docId w15:val="{A696B26F-45A4-5449-BF56-113649830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548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F191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24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4D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A2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DA24D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1Char">
    <w:name w:val="Heading 1 Char"/>
    <w:basedOn w:val="DefaultParagraphFont"/>
    <w:link w:val="Heading1"/>
    <w:uiPriority w:val="9"/>
    <w:rsid w:val="00ED548D"/>
    <w:rPr>
      <w:rFonts w:ascii="Times New Roman" w:eastAsia="Times New Roman" w:hAnsi="Times New Roman" w:cs="Times New Roman"/>
      <w:b/>
      <w:bCs/>
      <w:kern w:val="36"/>
      <w:sz w:val="48"/>
      <w:szCs w:val="48"/>
    </w:rPr>
  </w:style>
  <w:style w:type="character" w:customStyle="1" w:styleId="authors-info">
    <w:name w:val="authors-info"/>
    <w:basedOn w:val="DefaultParagraphFont"/>
    <w:rsid w:val="00ED548D"/>
  </w:style>
  <w:style w:type="character" w:customStyle="1" w:styleId="blue-tooltip">
    <w:name w:val="blue-tooltip"/>
    <w:basedOn w:val="DefaultParagraphFont"/>
    <w:rsid w:val="00ED548D"/>
  </w:style>
  <w:style w:type="character" w:styleId="Hyperlink">
    <w:name w:val="Hyperlink"/>
    <w:basedOn w:val="DefaultParagraphFont"/>
    <w:uiPriority w:val="99"/>
    <w:semiHidden/>
    <w:unhideWhenUsed/>
    <w:rsid w:val="00ED548D"/>
    <w:rPr>
      <w:color w:val="0000FF"/>
      <w:u w:val="single"/>
    </w:rPr>
  </w:style>
  <w:style w:type="paragraph" w:styleId="ListParagraph">
    <w:name w:val="List Paragraph"/>
    <w:basedOn w:val="Normal"/>
    <w:uiPriority w:val="34"/>
    <w:qFormat/>
    <w:rsid w:val="00ED548D"/>
    <w:pPr>
      <w:ind w:left="720"/>
      <w:contextualSpacing/>
    </w:pPr>
  </w:style>
  <w:style w:type="character" w:customStyle="1" w:styleId="Heading3Char">
    <w:name w:val="Heading 3 Char"/>
    <w:basedOn w:val="DefaultParagraphFont"/>
    <w:link w:val="Heading3"/>
    <w:uiPriority w:val="9"/>
    <w:semiHidden/>
    <w:rsid w:val="001F191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5921">
      <w:bodyDiv w:val="1"/>
      <w:marLeft w:val="0"/>
      <w:marRight w:val="0"/>
      <w:marTop w:val="0"/>
      <w:marBottom w:val="0"/>
      <w:divBdr>
        <w:top w:val="none" w:sz="0" w:space="0" w:color="auto"/>
        <w:left w:val="none" w:sz="0" w:space="0" w:color="auto"/>
        <w:bottom w:val="none" w:sz="0" w:space="0" w:color="auto"/>
        <w:right w:val="none" w:sz="0" w:space="0" w:color="auto"/>
      </w:divBdr>
    </w:div>
    <w:div w:id="98961739">
      <w:bodyDiv w:val="1"/>
      <w:marLeft w:val="0"/>
      <w:marRight w:val="0"/>
      <w:marTop w:val="0"/>
      <w:marBottom w:val="0"/>
      <w:divBdr>
        <w:top w:val="none" w:sz="0" w:space="0" w:color="auto"/>
        <w:left w:val="none" w:sz="0" w:space="0" w:color="auto"/>
        <w:bottom w:val="none" w:sz="0" w:space="0" w:color="auto"/>
        <w:right w:val="none" w:sz="0" w:space="0" w:color="auto"/>
      </w:divBdr>
    </w:div>
    <w:div w:id="255209494">
      <w:bodyDiv w:val="1"/>
      <w:marLeft w:val="0"/>
      <w:marRight w:val="0"/>
      <w:marTop w:val="0"/>
      <w:marBottom w:val="0"/>
      <w:divBdr>
        <w:top w:val="none" w:sz="0" w:space="0" w:color="auto"/>
        <w:left w:val="none" w:sz="0" w:space="0" w:color="auto"/>
        <w:bottom w:val="none" w:sz="0" w:space="0" w:color="auto"/>
        <w:right w:val="none" w:sz="0" w:space="0" w:color="auto"/>
      </w:divBdr>
    </w:div>
    <w:div w:id="317616185">
      <w:bodyDiv w:val="1"/>
      <w:marLeft w:val="0"/>
      <w:marRight w:val="0"/>
      <w:marTop w:val="0"/>
      <w:marBottom w:val="0"/>
      <w:divBdr>
        <w:top w:val="none" w:sz="0" w:space="0" w:color="auto"/>
        <w:left w:val="none" w:sz="0" w:space="0" w:color="auto"/>
        <w:bottom w:val="none" w:sz="0" w:space="0" w:color="auto"/>
        <w:right w:val="none" w:sz="0" w:space="0" w:color="auto"/>
      </w:divBdr>
    </w:div>
    <w:div w:id="507138270">
      <w:bodyDiv w:val="1"/>
      <w:marLeft w:val="0"/>
      <w:marRight w:val="0"/>
      <w:marTop w:val="0"/>
      <w:marBottom w:val="0"/>
      <w:divBdr>
        <w:top w:val="none" w:sz="0" w:space="0" w:color="auto"/>
        <w:left w:val="none" w:sz="0" w:space="0" w:color="auto"/>
        <w:bottom w:val="none" w:sz="0" w:space="0" w:color="auto"/>
        <w:right w:val="none" w:sz="0" w:space="0" w:color="auto"/>
      </w:divBdr>
    </w:div>
    <w:div w:id="647057419">
      <w:bodyDiv w:val="1"/>
      <w:marLeft w:val="0"/>
      <w:marRight w:val="0"/>
      <w:marTop w:val="0"/>
      <w:marBottom w:val="0"/>
      <w:divBdr>
        <w:top w:val="none" w:sz="0" w:space="0" w:color="auto"/>
        <w:left w:val="none" w:sz="0" w:space="0" w:color="auto"/>
        <w:bottom w:val="none" w:sz="0" w:space="0" w:color="auto"/>
        <w:right w:val="none" w:sz="0" w:space="0" w:color="auto"/>
      </w:divBdr>
    </w:div>
    <w:div w:id="774715393">
      <w:bodyDiv w:val="1"/>
      <w:marLeft w:val="0"/>
      <w:marRight w:val="0"/>
      <w:marTop w:val="0"/>
      <w:marBottom w:val="0"/>
      <w:divBdr>
        <w:top w:val="none" w:sz="0" w:space="0" w:color="auto"/>
        <w:left w:val="none" w:sz="0" w:space="0" w:color="auto"/>
        <w:bottom w:val="none" w:sz="0" w:space="0" w:color="auto"/>
        <w:right w:val="none" w:sz="0" w:space="0" w:color="auto"/>
      </w:divBdr>
    </w:div>
    <w:div w:id="1537624074">
      <w:bodyDiv w:val="1"/>
      <w:marLeft w:val="0"/>
      <w:marRight w:val="0"/>
      <w:marTop w:val="0"/>
      <w:marBottom w:val="0"/>
      <w:divBdr>
        <w:top w:val="none" w:sz="0" w:space="0" w:color="auto"/>
        <w:left w:val="none" w:sz="0" w:space="0" w:color="auto"/>
        <w:bottom w:val="none" w:sz="0" w:space="0" w:color="auto"/>
        <w:right w:val="none" w:sz="0" w:space="0" w:color="auto"/>
      </w:divBdr>
    </w:div>
    <w:div w:id="1546865793">
      <w:bodyDiv w:val="1"/>
      <w:marLeft w:val="0"/>
      <w:marRight w:val="0"/>
      <w:marTop w:val="0"/>
      <w:marBottom w:val="0"/>
      <w:divBdr>
        <w:top w:val="none" w:sz="0" w:space="0" w:color="auto"/>
        <w:left w:val="none" w:sz="0" w:space="0" w:color="auto"/>
        <w:bottom w:val="none" w:sz="0" w:space="0" w:color="auto"/>
        <w:right w:val="none" w:sz="0" w:space="0" w:color="auto"/>
      </w:divBdr>
    </w:div>
    <w:div w:id="1622879927">
      <w:bodyDiv w:val="1"/>
      <w:marLeft w:val="0"/>
      <w:marRight w:val="0"/>
      <w:marTop w:val="0"/>
      <w:marBottom w:val="0"/>
      <w:divBdr>
        <w:top w:val="none" w:sz="0" w:space="0" w:color="auto"/>
        <w:left w:val="none" w:sz="0" w:space="0" w:color="auto"/>
        <w:bottom w:val="none" w:sz="0" w:space="0" w:color="auto"/>
        <w:right w:val="none" w:sz="0" w:space="0" w:color="auto"/>
      </w:divBdr>
    </w:div>
    <w:div w:id="1626695877">
      <w:bodyDiv w:val="1"/>
      <w:marLeft w:val="0"/>
      <w:marRight w:val="0"/>
      <w:marTop w:val="0"/>
      <w:marBottom w:val="0"/>
      <w:divBdr>
        <w:top w:val="none" w:sz="0" w:space="0" w:color="auto"/>
        <w:left w:val="none" w:sz="0" w:space="0" w:color="auto"/>
        <w:bottom w:val="none" w:sz="0" w:space="0" w:color="auto"/>
        <w:right w:val="none" w:sz="0" w:space="0" w:color="auto"/>
      </w:divBdr>
    </w:div>
    <w:div w:id="1754008915">
      <w:bodyDiv w:val="1"/>
      <w:marLeft w:val="0"/>
      <w:marRight w:val="0"/>
      <w:marTop w:val="0"/>
      <w:marBottom w:val="0"/>
      <w:divBdr>
        <w:top w:val="none" w:sz="0" w:space="0" w:color="auto"/>
        <w:left w:val="none" w:sz="0" w:space="0" w:color="auto"/>
        <w:bottom w:val="none" w:sz="0" w:space="0" w:color="auto"/>
        <w:right w:val="none" w:sz="0" w:space="0" w:color="auto"/>
      </w:divBdr>
    </w:div>
    <w:div w:id="1840926407">
      <w:bodyDiv w:val="1"/>
      <w:marLeft w:val="0"/>
      <w:marRight w:val="0"/>
      <w:marTop w:val="0"/>
      <w:marBottom w:val="0"/>
      <w:divBdr>
        <w:top w:val="none" w:sz="0" w:space="0" w:color="auto"/>
        <w:left w:val="none" w:sz="0" w:space="0" w:color="auto"/>
        <w:bottom w:val="none" w:sz="0" w:space="0" w:color="auto"/>
        <w:right w:val="none" w:sz="0" w:space="0" w:color="auto"/>
      </w:divBdr>
    </w:div>
    <w:div w:id="1879856990">
      <w:bodyDiv w:val="1"/>
      <w:marLeft w:val="0"/>
      <w:marRight w:val="0"/>
      <w:marTop w:val="0"/>
      <w:marBottom w:val="0"/>
      <w:divBdr>
        <w:top w:val="none" w:sz="0" w:space="0" w:color="auto"/>
        <w:left w:val="none" w:sz="0" w:space="0" w:color="auto"/>
        <w:bottom w:val="none" w:sz="0" w:space="0" w:color="auto"/>
        <w:right w:val="none" w:sz="0" w:space="0" w:color="auto"/>
      </w:divBdr>
    </w:div>
    <w:div w:id="206976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uz/Library/Group%20Containers/UBF8T346G9.Office/User%20Content.localized/Templates.localized/Article%20Summar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Article Summary Template.dotx</Template>
  <TotalTime>1</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Zhongyuan.Zhang</cp:lastModifiedBy>
  <cp:revision>2</cp:revision>
  <dcterms:created xsi:type="dcterms:W3CDTF">2023-04-04T03:19:00Z</dcterms:created>
  <dcterms:modified xsi:type="dcterms:W3CDTF">2023-04-04T03:19:00Z</dcterms:modified>
</cp:coreProperties>
</file>