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F32D6" w14:textId="77777777" w:rsidR="00F32D27" w:rsidRPr="00824196" w:rsidRDefault="00F32D27" w:rsidP="00EF744B">
      <w:pPr>
        <w:pStyle w:val="Title"/>
        <w:spacing w:line="276" w:lineRule="auto"/>
        <w:jc w:val="center"/>
        <w:rPr>
          <w:b/>
          <w:bCs/>
        </w:rPr>
      </w:pPr>
      <w:r w:rsidRPr="00824196">
        <w:rPr>
          <w:b/>
          <w:bCs/>
        </w:rPr>
        <w:t>Article Summary</w:t>
      </w:r>
    </w:p>
    <w:p w14:paraId="170E2219" w14:textId="49AAD5DD" w:rsidR="00F32D27" w:rsidRPr="00ED548D" w:rsidRDefault="00F32D27" w:rsidP="00F32D27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 w:rsidRPr="002507AC">
        <w:rPr>
          <w:sz w:val="28"/>
          <w:szCs w:val="28"/>
        </w:rPr>
        <w:t xml:space="preserve">Title: </w:t>
      </w:r>
      <w:r w:rsidR="00240942" w:rsidRPr="00240942">
        <w:rPr>
          <w:rFonts w:asciiTheme="minorHAnsi" w:eastAsiaTheme="minorEastAsia" w:hAnsiTheme="minorHAnsi" w:cstheme="minorBidi"/>
          <w:b w:val="0"/>
          <w:bCs w:val="0"/>
          <w:i/>
          <w:iCs/>
          <w:kern w:val="0"/>
          <w:sz w:val="28"/>
          <w:szCs w:val="28"/>
        </w:rPr>
        <w:t>Forecasting Electricity Demand in Australian National Electricity Market</w:t>
      </w:r>
    </w:p>
    <w:p w14:paraId="143ED135" w14:textId="77777777" w:rsidR="00F32D27" w:rsidRPr="002507AC" w:rsidRDefault="00F32D27" w:rsidP="00F32D27">
      <w:pPr>
        <w:spacing w:line="360" w:lineRule="auto"/>
        <w:jc w:val="both"/>
        <w:rPr>
          <w:b/>
          <w:bCs/>
          <w:sz w:val="28"/>
          <w:szCs w:val="28"/>
        </w:rPr>
      </w:pPr>
    </w:p>
    <w:p w14:paraId="48EC939A" w14:textId="494D35C9" w:rsidR="00F32D27" w:rsidRPr="002507AC" w:rsidRDefault="00F32D27" w:rsidP="00F32D27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 xml:space="preserve">Author(s): </w:t>
      </w:r>
      <w:r w:rsidR="00240942" w:rsidRPr="00240942">
        <w:rPr>
          <w:i/>
          <w:iCs/>
          <w:sz w:val="28"/>
          <w:szCs w:val="28"/>
        </w:rPr>
        <w:t>Shu Fan, Senior Member, IEEE, and Rob J Hyndman</w:t>
      </w:r>
    </w:p>
    <w:p w14:paraId="36E76160" w14:textId="24BDB475" w:rsidR="00F32D27" w:rsidRPr="00ED548D" w:rsidRDefault="00F32D27" w:rsidP="00F32D27">
      <w:pPr>
        <w:shd w:val="clear" w:color="auto" w:fill="FFFFFF"/>
        <w:spacing w:before="100" w:beforeAutospacing="1" w:after="100" w:afterAutospacing="1"/>
        <w:jc w:val="both"/>
        <w:rPr>
          <w:i/>
          <w:iCs/>
          <w:sz w:val="28"/>
          <w:szCs w:val="28"/>
        </w:rPr>
      </w:pPr>
      <w:r w:rsidRPr="00ED548D">
        <w:rPr>
          <w:b/>
          <w:bCs/>
          <w:sz w:val="28"/>
          <w:szCs w:val="28"/>
        </w:rPr>
        <w:t xml:space="preserve">Keywords: </w:t>
      </w:r>
      <w:bookmarkStart w:id="0" w:name="OLE_LINK138"/>
      <w:r w:rsidR="00240942">
        <w:rPr>
          <w:i/>
          <w:iCs/>
          <w:sz w:val="28"/>
          <w:szCs w:val="28"/>
        </w:rPr>
        <w:t>L</w:t>
      </w:r>
      <w:r w:rsidR="00240942" w:rsidRPr="00240942">
        <w:rPr>
          <w:i/>
          <w:iCs/>
          <w:sz w:val="28"/>
          <w:szCs w:val="28"/>
        </w:rPr>
        <w:t xml:space="preserve">oad forecasting, </w:t>
      </w:r>
      <w:bookmarkStart w:id="1" w:name="OLE_LINK139"/>
      <w:r w:rsidR="00240942" w:rsidRPr="00240942">
        <w:rPr>
          <w:i/>
          <w:iCs/>
          <w:sz w:val="28"/>
          <w:szCs w:val="28"/>
        </w:rPr>
        <w:t>additive model</w:t>
      </w:r>
      <w:bookmarkEnd w:id="1"/>
      <w:r w:rsidR="00240942" w:rsidRPr="00240942">
        <w:rPr>
          <w:i/>
          <w:iCs/>
          <w:sz w:val="28"/>
          <w:szCs w:val="28"/>
        </w:rPr>
        <w:t>, time series, forecast distribution.</w:t>
      </w:r>
      <w:bookmarkEnd w:id="0"/>
    </w:p>
    <w:p w14:paraId="658F5EF6" w14:textId="20C10B73" w:rsidR="00F32D27" w:rsidRPr="002507AC" w:rsidRDefault="00F32D27" w:rsidP="00F32D27">
      <w:pPr>
        <w:spacing w:line="360" w:lineRule="auto"/>
        <w:jc w:val="both"/>
        <w:rPr>
          <w:b/>
          <w:bCs/>
          <w:sz w:val="28"/>
          <w:szCs w:val="28"/>
        </w:rPr>
      </w:pPr>
      <w:r w:rsidRPr="002507AC">
        <w:rPr>
          <w:b/>
          <w:bCs/>
          <w:sz w:val="28"/>
          <w:szCs w:val="28"/>
        </w:rPr>
        <w:t xml:space="preserve">Accessed: </w:t>
      </w:r>
      <w:r w:rsidR="000F6C94">
        <w:rPr>
          <w:i/>
          <w:iCs/>
          <w:sz w:val="28"/>
          <w:szCs w:val="28"/>
        </w:rPr>
        <w:t>22 July 2012</w:t>
      </w:r>
    </w:p>
    <w:p w14:paraId="483B0152" w14:textId="77777777" w:rsidR="00F32D27" w:rsidRDefault="00F32D27" w:rsidP="00F32D27">
      <w:pPr>
        <w:jc w:val="both"/>
      </w:pPr>
    </w:p>
    <w:tbl>
      <w:tblPr>
        <w:tblStyle w:val="GridTable4-Accent4"/>
        <w:tblW w:w="9392" w:type="dxa"/>
        <w:jc w:val="center"/>
        <w:tblLook w:val="04A0" w:firstRow="1" w:lastRow="0" w:firstColumn="1" w:lastColumn="0" w:noHBand="0" w:noVBand="1"/>
      </w:tblPr>
      <w:tblGrid>
        <w:gridCol w:w="9392"/>
      </w:tblGrid>
      <w:tr w:rsidR="00F32D27" w14:paraId="357ABBCA" w14:textId="77777777" w:rsidTr="00412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2" w:type="dxa"/>
          </w:tcPr>
          <w:p w14:paraId="1AAE8D98" w14:textId="77777777" w:rsidR="00F32D27" w:rsidRPr="00824196" w:rsidRDefault="00F32D27" w:rsidP="0041284C">
            <w:pPr>
              <w:jc w:val="center"/>
              <w:rPr>
                <w:sz w:val="28"/>
                <w:szCs w:val="28"/>
              </w:rPr>
            </w:pPr>
            <w:r w:rsidRPr="00824196">
              <w:rPr>
                <w:sz w:val="28"/>
                <w:szCs w:val="28"/>
              </w:rPr>
              <w:t>Key Findings</w:t>
            </w:r>
          </w:p>
        </w:tc>
      </w:tr>
      <w:tr w:rsidR="00F32D27" w14:paraId="7B58B9D2" w14:textId="77777777" w:rsidTr="0041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2" w:type="dxa"/>
          </w:tcPr>
          <w:p w14:paraId="4082F75E" w14:textId="3EC02E3F" w:rsidR="00F32D27" w:rsidRDefault="003B3D33" w:rsidP="0041284C">
            <w:pPr>
              <w:jc w:val="both"/>
            </w:pPr>
            <w:bookmarkStart w:id="2" w:name="OLE_LINK126"/>
            <w:r>
              <w:t>In this study, t</w:t>
            </w:r>
            <w:r w:rsidRPr="003B3D33">
              <w:t xml:space="preserve">he authors use a variety of time series models to forecast electricity demand in the Australian National Electricity Market (NEM), </w:t>
            </w:r>
            <w:bookmarkStart w:id="3" w:name="OLE_LINK132"/>
            <w:r w:rsidRPr="003B3D33">
              <w:t xml:space="preserve">including </w:t>
            </w:r>
            <w:bookmarkStart w:id="4" w:name="OLE_LINK127"/>
            <w:bookmarkStart w:id="5" w:name="OLE_LINK128"/>
            <w:r w:rsidRPr="003B3D33">
              <w:t xml:space="preserve">exponential </w:t>
            </w:r>
            <w:bookmarkEnd w:id="4"/>
            <w:r w:rsidRPr="003B3D33">
              <w:t>smoothing models</w:t>
            </w:r>
            <w:bookmarkEnd w:id="5"/>
            <w:r w:rsidRPr="003B3D33">
              <w:t xml:space="preserve">, ARIMA models, and a </w:t>
            </w:r>
            <w:bookmarkStart w:id="6" w:name="OLE_LINK129"/>
            <w:r w:rsidRPr="003B3D33">
              <w:t xml:space="preserve">seasonal-trend </w:t>
            </w:r>
            <w:bookmarkStart w:id="7" w:name="OLE_LINK130"/>
            <w:r w:rsidRPr="003B3D33">
              <w:t xml:space="preserve">decomposition </w:t>
            </w:r>
            <w:bookmarkEnd w:id="7"/>
            <w:r w:rsidRPr="003B3D33">
              <w:t xml:space="preserve">model </w:t>
            </w:r>
            <w:bookmarkEnd w:id="6"/>
            <w:r w:rsidRPr="003B3D33">
              <w:t xml:space="preserve">based on </w:t>
            </w:r>
            <w:bookmarkStart w:id="8" w:name="OLE_LINK131"/>
            <w:r w:rsidRPr="003B3D33">
              <w:t xml:space="preserve">LOESS </w:t>
            </w:r>
            <w:bookmarkEnd w:id="8"/>
            <w:r w:rsidRPr="003B3D33">
              <w:t>(STL).</w:t>
            </w:r>
            <w:bookmarkEnd w:id="2"/>
            <w:bookmarkEnd w:id="3"/>
            <w:r>
              <w:t xml:space="preserve"> </w:t>
            </w:r>
            <w:bookmarkStart w:id="9" w:name="OLE_LINK135"/>
            <w:r>
              <w:t xml:space="preserve">They </w:t>
            </w:r>
            <w:r w:rsidRPr="003B3D33">
              <w:t xml:space="preserve">also investigate the impact of weather </w:t>
            </w:r>
            <w:bookmarkStart w:id="10" w:name="OLE_LINK133"/>
            <w:r w:rsidRPr="003B3D33">
              <w:t xml:space="preserve">variables </w:t>
            </w:r>
            <w:bookmarkEnd w:id="10"/>
            <w:r w:rsidRPr="003B3D33">
              <w:t xml:space="preserve">on electricity demand and find that </w:t>
            </w:r>
            <w:bookmarkStart w:id="11" w:name="OLE_LINK134"/>
            <w:r w:rsidRPr="003B3D33">
              <w:t xml:space="preserve">incorporating </w:t>
            </w:r>
            <w:bookmarkEnd w:id="11"/>
            <w:r w:rsidRPr="003B3D33">
              <w:t>temperature and humidity data can significantly improve forecast accuracy.</w:t>
            </w:r>
            <w:r>
              <w:t xml:space="preserve"> </w:t>
            </w:r>
            <w:bookmarkEnd w:id="9"/>
            <w:r w:rsidRPr="003B3D33">
              <w:t xml:space="preserve">Finally, </w:t>
            </w:r>
            <w:r>
              <w:t>this study provides</w:t>
            </w:r>
            <w:r w:rsidRPr="003B3D33">
              <w:t xml:space="preserve"> a practical application of their forecasting models by developing an online tool for electricity demand forecasting in the Australian NEM.</w:t>
            </w:r>
          </w:p>
        </w:tc>
      </w:tr>
    </w:tbl>
    <w:p w14:paraId="15DDA3FA" w14:textId="50D2D04D" w:rsidR="00F32D27" w:rsidRDefault="00F32D27" w:rsidP="00F32D27">
      <w:pPr>
        <w:jc w:val="both"/>
      </w:pPr>
    </w:p>
    <w:p w14:paraId="428DFA55" w14:textId="5BC958FB" w:rsidR="0083280A" w:rsidRDefault="0083280A" w:rsidP="00F32D27">
      <w:pPr>
        <w:jc w:val="both"/>
      </w:pPr>
    </w:p>
    <w:p w14:paraId="566787AC" w14:textId="77777777" w:rsidR="0083280A" w:rsidRDefault="0083280A" w:rsidP="00F32D27">
      <w:pPr>
        <w:jc w:val="both"/>
      </w:pPr>
    </w:p>
    <w:tbl>
      <w:tblPr>
        <w:tblStyle w:val="GridTable4-Accent4"/>
        <w:tblW w:w="9413" w:type="dxa"/>
        <w:jc w:val="center"/>
        <w:tblLook w:val="04A0" w:firstRow="1" w:lastRow="0" w:firstColumn="1" w:lastColumn="0" w:noHBand="0" w:noVBand="1"/>
      </w:tblPr>
      <w:tblGrid>
        <w:gridCol w:w="9413"/>
      </w:tblGrid>
      <w:tr w:rsidR="00F32D27" w14:paraId="5C0B42B0" w14:textId="77777777" w:rsidTr="00412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</w:tcPr>
          <w:p w14:paraId="72E87CDE" w14:textId="77777777" w:rsidR="00F32D27" w:rsidRPr="00824196" w:rsidRDefault="00F32D27" w:rsidP="0041284C">
            <w:pPr>
              <w:jc w:val="center"/>
              <w:rPr>
                <w:sz w:val="28"/>
                <w:szCs w:val="28"/>
              </w:rPr>
            </w:pPr>
            <w:r w:rsidRPr="00824196">
              <w:rPr>
                <w:sz w:val="28"/>
                <w:szCs w:val="28"/>
              </w:rPr>
              <w:t>Quotes</w:t>
            </w:r>
          </w:p>
        </w:tc>
      </w:tr>
      <w:tr w:rsidR="00F32D27" w14:paraId="20178C72" w14:textId="77777777" w:rsidTr="0041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</w:tcPr>
          <w:p w14:paraId="370A4576" w14:textId="36C760F2" w:rsidR="00F32D27" w:rsidRDefault="00240942" w:rsidP="0041284C">
            <w:pPr>
              <w:jc w:val="both"/>
            </w:pPr>
            <w:r w:rsidRPr="00240942">
              <w:t xml:space="preserve">Fan, S., &amp; Hyndman, R. J. (2012, July). Forecasting electricity demand in </w:t>
            </w:r>
            <w:proofErr w:type="spellStart"/>
            <w:r w:rsidRPr="00240942">
              <w:t>australian</w:t>
            </w:r>
            <w:proofErr w:type="spellEnd"/>
            <w:r w:rsidRPr="00240942">
              <w:t xml:space="preserve"> national electricity market. In 2012 IEEE Power and Energy Society General Meeting (pp. 1-4). IEEE.</w:t>
            </w:r>
          </w:p>
        </w:tc>
      </w:tr>
    </w:tbl>
    <w:p w14:paraId="6D32A656" w14:textId="77777777" w:rsidR="00F32D27" w:rsidRDefault="00F32D27" w:rsidP="00F32D27">
      <w:pPr>
        <w:jc w:val="both"/>
      </w:pPr>
    </w:p>
    <w:p w14:paraId="39446511" w14:textId="77777777" w:rsidR="00F32D27" w:rsidRDefault="00F32D27" w:rsidP="00F32D27">
      <w:pPr>
        <w:jc w:val="both"/>
      </w:pPr>
    </w:p>
    <w:tbl>
      <w:tblPr>
        <w:tblStyle w:val="GridTable4-Accent4"/>
        <w:tblpPr w:leftFromText="180" w:rightFromText="180" w:vertAnchor="text" w:horzAnchor="margin" w:tblpXSpec="center" w:tblpY="5"/>
        <w:tblW w:w="9437" w:type="dxa"/>
        <w:tblLook w:val="04A0" w:firstRow="1" w:lastRow="0" w:firstColumn="1" w:lastColumn="0" w:noHBand="0" w:noVBand="1"/>
      </w:tblPr>
      <w:tblGrid>
        <w:gridCol w:w="4673"/>
        <w:gridCol w:w="4764"/>
      </w:tblGrid>
      <w:tr w:rsidR="00F32D27" w14:paraId="74445B24" w14:textId="77777777" w:rsidTr="00412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FE61C6A" w14:textId="77777777" w:rsidR="00F32D27" w:rsidRPr="00DA24D9" w:rsidRDefault="00F32D27" w:rsidP="0041284C">
            <w:pPr>
              <w:jc w:val="center"/>
              <w:rPr>
                <w:sz w:val="28"/>
                <w:szCs w:val="28"/>
              </w:rPr>
            </w:pPr>
            <w:r w:rsidRPr="00DA24D9">
              <w:rPr>
                <w:sz w:val="28"/>
                <w:szCs w:val="28"/>
              </w:rPr>
              <w:t>Strengths</w:t>
            </w:r>
          </w:p>
        </w:tc>
        <w:tc>
          <w:tcPr>
            <w:tcW w:w="4764" w:type="dxa"/>
          </w:tcPr>
          <w:p w14:paraId="09DCBCD1" w14:textId="77777777" w:rsidR="00F32D27" w:rsidRPr="00DA24D9" w:rsidRDefault="00F32D27" w:rsidP="00412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24D9">
              <w:rPr>
                <w:sz w:val="28"/>
                <w:szCs w:val="28"/>
              </w:rPr>
              <w:t>Limitations</w:t>
            </w:r>
          </w:p>
        </w:tc>
      </w:tr>
      <w:tr w:rsidR="00F32D27" w14:paraId="4FC32B19" w14:textId="77777777" w:rsidTr="0041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95045EC" w14:textId="2454AEAA" w:rsidR="00F32D27" w:rsidRDefault="003B3D33" w:rsidP="003B3D33">
            <w:pPr>
              <w:pStyle w:val="ListParagraph"/>
              <w:numPr>
                <w:ilvl w:val="0"/>
                <w:numId w:val="5"/>
              </w:numPr>
              <w:jc w:val="both"/>
              <w:rPr>
                <w:b w:val="0"/>
                <w:bCs w:val="0"/>
              </w:rPr>
            </w:pPr>
            <w:bookmarkStart w:id="12" w:name="OLE_LINK136"/>
            <w:r w:rsidRPr="003B3D33">
              <w:lastRenderedPageBreak/>
              <w:t xml:space="preserve">The study finds that the STL model outperforms the other models </w:t>
            </w:r>
            <w:r>
              <w:t>regarding</w:t>
            </w:r>
            <w:r w:rsidRPr="003B3D33">
              <w:t xml:space="preserve"> forecast accuracy for short-term forecasting (up to 48 hours ahead), while the ARIMA models perform best for longer-term forecasting (up to 168 hours ahead).</w:t>
            </w:r>
            <w:bookmarkEnd w:id="12"/>
          </w:p>
          <w:p w14:paraId="7CA986CE" w14:textId="77777777" w:rsidR="003B3D33" w:rsidRDefault="003B3D33" w:rsidP="003B3D33">
            <w:pPr>
              <w:pStyle w:val="ListParagraph"/>
              <w:numPr>
                <w:ilvl w:val="0"/>
                <w:numId w:val="5"/>
              </w:numPr>
              <w:jc w:val="both"/>
              <w:rPr>
                <w:b w:val="0"/>
                <w:bCs w:val="0"/>
              </w:rPr>
            </w:pPr>
            <w:bookmarkStart w:id="13" w:name="OLE_LINK137"/>
            <w:r w:rsidRPr="003B3D33">
              <w:t>The article employs a variety of time series models, allowing for a comprehensive evaluation of different approaches to electricity demand forecasting.</w:t>
            </w:r>
            <w:bookmarkEnd w:id="13"/>
          </w:p>
          <w:p w14:paraId="13C1050D" w14:textId="2EB373D6" w:rsidR="003B3D33" w:rsidRPr="003B3D33" w:rsidRDefault="003B3D33" w:rsidP="003B3D33">
            <w:pPr>
              <w:pStyle w:val="ListParagraph"/>
              <w:numPr>
                <w:ilvl w:val="0"/>
                <w:numId w:val="5"/>
              </w:numPr>
              <w:jc w:val="both"/>
            </w:pPr>
            <w:r w:rsidRPr="003B3D33">
              <w:t>The use of multiple models and the combination of forecasts from different models can lead to improved forecast accuracy.</w:t>
            </w:r>
          </w:p>
        </w:tc>
        <w:tc>
          <w:tcPr>
            <w:tcW w:w="4764" w:type="dxa"/>
          </w:tcPr>
          <w:p w14:paraId="024D444A" w14:textId="727DEE79" w:rsidR="00F32D27" w:rsidRPr="003B3D33" w:rsidRDefault="003B3D33" w:rsidP="003B3D33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3D33">
              <w:rPr>
                <w:b/>
                <w:bCs/>
              </w:rPr>
              <w:t>The article does not compare the performance of the models to other methods, such as machine learning approaches, that have been applied to electricity demand forecasting in recent years.</w:t>
            </w:r>
          </w:p>
          <w:p w14:paraId="643299BB" w14:textId="4D10839C" w:rsidR="003B3D33" w:rsidRPr="003B3D33" w:rsidRDefault="003B3D33" w:rsidP="003B3D33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3D33">
              <w:rPr>
                <w:b/>
                <w:bCs/>
              </w:rPr>
              <w:t>The online tool developed in the article may require significant computational resources to implement and may not be accessible to all users.</w:t>
            </w:r>
          </w:p>
          <w:p w14:paraId="6AFB8FA9" w14:textId="0BA42C61" w:rsidR="003B3D33" w:rsidRPr="003B3D33" w:rsidRDefault="003B3D33" w:rsidP="003B3D33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3D33">
              <w:rPr>
                <w:b/>
                <w:bCs/>
              </w:rPr>
              <w:t xml:space="preserve">The article focuses on </w:t>
            </w:r>
            <w:r w:rsidR="00272BC2">
              <w:rPr>
                <w:b/>
                <w:bCs/>
              </w:rPr>
              <w:t>using</w:t>
            </w:r>
            <w:r w:rsidRPr="003B3D33">
              <w:rPr>
                <w:b/>
                <w:bCs/>
              </w:rPr>
              <w:t xml:space="preserve"> historical data to forecast future electricity demand</w:t>
            </w:r>
            <w:r w:rsidR="00272BC2">
              <w:rPr>
                <w:b/>
                <w:bCs/>
              </w:rPr>
              <w:t>. It does</w:t>
            </w:r>
            <w:r w:rsidRPr="003B3D33">
              <w:rPr>
                <w:b/>
                <w:bCs/>
              </w:rPr>
              <w:t xml:space="preserve"> not consider the impact of unforeseen events</w:t>
            </w:r>
            <w:r w:rsidR="00272BC2">
              <w:rPr>
                <w:b/>
                <w:bCs/>
              </w:rPr>
              <w:t>,</w:t>
            </w:r>
            <w:r w:rsidRPr="003B3D33">
              <w:rPr>
                <w:b/>
                <w:bCs/>
              </w:rPr>
              <w:t xml:space="preserve"> such as extreme weather or </w:t>
            </w:r>
            <w:r w:rsidR="00272BC2">
              <w:rPr>
                <w:b/>
                <w:bCs/>
              </w:rPr>
              <w:t>significant</w:t>
            </w:r>
            <w:r w:rsidRPr="003B3D33">
              <w:rPr>
                <w:b/>
                <w:bCs/>
              </w:rPr>
              <w:t xml:space="preserve"> power outages</w:t>
            </w:r>
            <w:r w:rsidR="00272BC2">
              <w:rPr>
                <w:b/>
                <w:bCs/>
              </w:rPr>
              <w:t>,</w:t>
            </w:r>
            <w:r w:rsidRPr="003B3D33">
              <w:rPr>
                <w:b/>
                <w:bCs/>
              </w:rPr>
              <w:t xml:space="preserve"> on electricity demand.</w:t>
            </w:r>
          </w:p>
        </w:tc>
      </w:tr>
    </w:tbl>
    <w:p w14:paraId="0D593CB8" w14:textId="77777777" w:rsidR="00F32D27" w:rsidRDefault="00F32D27" w:rsidP="00F32D27">
      <w:pPr>
        <w:jc w:val="both"/>
      </w:pPr>
    </w:p>
    <w:p w14:paraId="25D90B92" w14:textId="65594F08" w:rsidR="001F1916" w:rsidRDefault="001F1916" w:rsidP="002507AC">
      <w:pPr>
        <w:jc w:val="both"/>
      </w:pPr>
    </w:p>
    <w:p w14:paraId="44C622E1" w14:textId="77777777" w:rsidR="001F1916" w:rsidRDefault="001F1916" w:rsidP="002507AC">
      <w:pPr>
        <w:jc w:val="both"/>
      </w:pPr>
    </w:p>
    <w:sectPr w:rsidR="001F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BF8"/>
    <w:multiLevelType w:val="multilevel"/>
    <w:tmpl w:val="992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40DC"/>
    <w:multiLevelType w:val="hybridMultilevel"/>
    <w:tmpl w:val="E4764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943D07"/>
    <w:multiLevelType w:val="hybridMultilevel"/>
    <w:tmpl w:val="EF402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AB3468"/>
    <w:multiLevelType w:val="hybridMultilevel"/>
    <w:tmpl w:val="5C86E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6B18"/>
    <w:multiLevelType w:val="hybridMultilevel"/>
    <w:tmpl w:val="A2AE5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3A70BF"/>
    <w:multiLevelType w:val="hybridMultilevel"/>
    <w:tmpl w:val="4C7828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D"/>
    <w:rsid w:val="000F6C94"/>
    <w:rsid w:val="001F1916"/>
    <w:rsid w:val="00240942"/>
    <w:rsid w:val="002507AC"/>
    <w:rsid w:val="00272BC2"/>
    <w:rsid w:val="003B3D33"/>
    <w:rsid w:val="003F7F2D"/>
    <w:rsid w:val="005814CD"/>
    <w:rsid w:val="00824196"/>
    <w:rsid w:val="0083280A"/>
    <w:rsid w:val="00DA24D9"/>
    <w:rsid w:val="00E2123E"/>
    <w:rsid w:val="00E55536"/>
    <w:rsid w:val="00ED548D"/>
    <w:rsid w:val="00EF744B"/>
    <w:rsid w:val="00F3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2861"/>
  <w15:chartTrackingRefBased/>
  <w15:docId w15:val="{A696B26F-45A4-5449-BF56-1136498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4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4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A24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D54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ED548D"/>
  </w:style>
  <w:style w:type="character" w:customStyle="1" w:styleId="blue-tooltip">
    <w:name w:val="blue-tooltip"/>
    <w:basedOn w:val="DefaultParagraphFont"/>
    <w:rsid w:val="00ED548D"/>
  </w:style>
  <w:style w:type="character" w:styleId="Hyperlink">
    <w:name w:val="Hyperlink"/>
    <w:basedOn w:val="DefaultParagraphFont"/>
    <w:uiPriority w:val="99"/>
    <w:semiHidden/>
    <w:unhideWhenUsed/>
    <w:rsid w:val="00ED54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4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191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z/Library/Group%20Containers/UBF8T346G9.Office/User%20Content.localized/Templates.localized/Article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 Summary Template.dotx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Zhongyuan.Zhang</cp:lastModifiedBy>
  <cp:revision>2</cp:revision>
  <dcterms:created xsi:type="dcterms:W3CDTF">2023-04-04T03:18:00Z</dcterms:created>
  <dcterms:modified xsi:type="dcterms:W3CDTF">2023-04-04T03:18:00Z</dcterms:modified>
</cp:coreProperties>
</file>