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AD964" w14:textId="77777777" w:rsidR="00DA24D9" w:rsidRPr="00824196" w:rsidRDefault="00DA24D9" w:rsidP="00824196">
      <w:pPr>
        <w:pStyle w:val="Title"/>
        <w:spacing w:line="276" w:lineRule="auto"/>
        <w:jc w:val="center"/>
        <w:rPr>
          <w:b/>
          <w:bCs/>
        </w:rPr>
      </w:pPr>
      <w:r w:rsidRPr="00824196">
        <w:rPr>
          <w:b/>
          <w:bCs/>
        </w:rPr>
        <w:t>Article Summary</w:t>
      </w:r>
    </w:p>
    <w:p w14:paraId="1092954B" w14:textId="500BE1CD" w:rsidR="00DA24D9" w:rsidRPr="00824196" w:rsidRDefault="00DA24D9" w:rsidP="00824196">
      <w:pPr>
        <w:spacing w:line="360" w:lineRule="auto"/>
        <w:rPr>
          <w:sz w:val="28"/>
          <w:szCs w:val="28"/>
        </w:rPr>
      </w:pPr>
      <w:r w:rsidRPr="009839AF">
        <w:rPr>
          <w:b/>
          <w:bCs/>
          <w:sz w:val="28"/>
          <w:szCs w:val="28"/>
        </w:rPr>
        <w:t>Title</w:t>
      </w:r>
      <w:r w:rsidRPr="009839AF">
        <w:rPr>
          <w:b/>
          <w:bCs/>
          <w:i/>
          <w:iCs/>
          <w:sz w:val="28"/>
          <w:szCs w:val="28"/>
        </w:rPr>
        <w:t>:</w:t>
      </w:r>
      <w:r w:rsidR="009839AF" w:rsidRPr="009839AF">
        <w:rPr>
          <w:i/>
          <w:iCs/>
        </w:rPr>
        <w:t xml:space="preserve"> </w:t>
      </w:r>
      <w:r w:rsidR="009839AF" w:rsidRPr="009839AF">
        <w:rPr>
          <w:i/>
          <w:iCs/>
          <w:sz w:val="28"/>
          <w:szCs w:val="28"/>
        </w:rPr>
        <w:t>Drivers behind Residential Electricity Demand Fluctuations Due to COVID-19 Restrictions</w:t>
      </w:r>
      <w:r w:rsidR="009839AF">
        <w:rPr>
          <w:sz w:val="28"/>
          <w:szCs w:val="28"/>
        </w:rPr>
        <w:t xml:space="preserve"> </w:t>
      </w:r>
    </w:p>
    <w:p w14:paraId="6276080E" w14:textId="2BFF7526" w:rsidR="00DA24D9" w:rsidRPr="00824196" w:rsidRDefault="00DA24D9" w:rsidP="00824196">
      <w:pPr>
        <w:spacing w:line="360" w:lineRule="auto"/>
        <w:rPr>
          <w:rFonts w:hint="eastAsia"/>
          <w:sz w:val="28"/>
          <w:szCs w:val="28"/>
        </w:rPr>
      </w:pPr>
      <w:r w:rsidRPr="009839AF">
        <w:rPr>
          <w:b/>
          <w:bCs/>
          <w:sz w:val="28"/>
          <w:szCs w:val="28"/>
        </w:rPr>
        <w:t>Author(s):</w:t>
      </w:r>
      <w:r w:rsidRPr="00824196">
        <w:rPr>
          <w:sz w:val="28"/>
          <w:szCs w:val="28"/>
        </w:rPr>
        <w:t xml:space="preserve"> </w:t>
      </w:r>
      <w:r w:rsidR="009839AF" w:rsidRPr="009839AF">
        <w:rPr>
          <w:sz w:val="28"/>
          <w:szCs w:val="28"/>
        </w:rPr>
        <w:t>Stephen Snow,</w:t>
      </w:r>
      <w:r w:rsidR="009839AF">
        <w:rPr>
          <w:sz w:val="28"/>
          <w:szCs w:val="28"/>
        </w:rPr>
        <w:t xml:space="preserve"> </w:t>
      </w:r>
      <w:r w:rsidR="009839AF" w:rsidRPr="009839AF">
        <w:rPr>
          <w:sz w:val="28"/>
          <w:szCs w:val="28"/>
        </w:rPr>
        <w:t>Richard Bean,</w:t>
      </w:r>
      <w:r w:rsidR="009839AF">
        <w:rPr>
          <w:sz w:val="28"/>
          <w:szCs w:val="28"/>
        </w:rPr>
        <w:t xml:space="preserve"> </w:t>
      </w:r>
      <w:proofErr w:type="spellStart"/>
      <w:r w:rsidR="009839AF" w:rsidRPr="009839AF">
        <w:rPr>
          <w:sz w:val="28"/>
          <w:szCs w:val="28"/>
        </w:rPr>
        <w:t>Mashhuda</w:t>
      </w:r>
      <w:proofErr w:type="spellEnd"/>
      <w:r w:rsidR="009839AF" w:rsidRPr="009839AF">
        <w:rPr>
          <w:sz w:val="28"/>
          <w:szCs w:val="28"/>
        </w:rPr>
        <w:t xml:space="preserve"> Glencross</w:t>
      </w:r>
      <w:r w:rsidR="009839AF">
        <w:rPr>
          <w:sz w:val="28"/>
          <w:szCs w:val="28"/>
        </w:rPr>
        <w:t xml:space="preserve"> </w:t>
      </w:r>
      <w:r w:rsidR="009839AF" w:rsidRPr="009839AF">
        <w:rPr>
          <w:sz w:val="28"/>
          <w:szCs w:val="28"/>
        </w:rPr>
        <w:t>and</w:t>
      </w:r>
      <w:r w:rsidR="009839AF">
        <w:rPr>
          <w:sz w:val="28"/>
          <w:szCs w:val="28"/>
        </w:rPr>
        <w:t xml:space="preserve"> </w:t>
      </w:r>
      <w:r w:rsidR="009839AF" w:rsidRPr="009839AF">
        <w:rPr>
          <w:sz w:val="28"/>
          <w:szCs w:val="28"/>
        </w:rPr>
        <w:t xml:space="preserve">Neil </w:t>
      </w:r>
      <w:proofErr w:type="spellStart"/>
      <w:r w:rsidR="009839AF" w:rsidRPr="009839AF">
        <w:rPr>
          <w:sz w:val="28"/>
          <w:szCs w:val="28"/>
        </w:rPr>
        <w:t>Horrocks</w:t>
      </w:r>
      <w:proofErr w:type="spellEnd"/>
    </w:p>
    <w:p w14:paraId="651FE88F" w14:textId="4788FD10" w:rsidR="00DA24D9" w:rsidRPr="00824196" w:rsidRDefault="00DA24D9" w:rsidP="00824196">
      <w:pPr>
        <w:spacing w:line="360" w:lineRule="auto"/>
        <w:rPr>
          <w:sz w:val="28"/>
          <w:szCs w:val="28"/>
        </w:rPr>
      </w:pPr>
      <w:r w:rsidRPr="009839AF">
        <w:rPr>
          <w:b/>
          <w:bCs/>
          <w:sz w:val="28"/>
          <w:szCs w:val="28"/>
        </w:rPr>
        <w:t>Keywords:</w:t>
      </w:r>
      <w:r w:rsidRPr="00824196">
        <w:rPr>
          <w:sz w:val="28"/>
          <w:szCs w:val="28"/>
        </w:rPr>
        <w:t xml:space="preserve"> </w:t>
      </w:r>
      <w:r w:rsidR="009839AF">
        <w:rPr>
          <w:rFonts w:hint="eastAsia"/>
          <w:sz w:val="28"/>
          <w:szCs w:val="28"/>
        </w:rPr>
        <w:t>COVID</w:t>
      </w:r>
      <w:r w:rsidR="009839AF">
        <w:rPr>
          <w:sz w:val="28"/>
          <w:szCs w:val="28"/>
        </w:rPr>
        <w:t>-19</w:t>
      </w:r>
      <w:r w:rsidR="009839AF">
        <w:rPr>
          <w:rFonts w:hint="eastAsia"/>
          <w:sz w:val="28"/>
          <w:szCs w:val="28"/>
        </w:rPr>
        <w:t>,</w:t>
      </w:r>
      <w:r w:rsidR="009839AF">
        <w:rPr>
          <w:sz w:val="28"/>
          <w:szCs w:val="28"/>
        </w:rPr>
        <w:t xml:space="preserve"> electricity demand, Australian, household, </w:t>
      </w:r>
      <w:r w:rsidR="009839AF">
        <w:rPr>
          <w:rFonts w:hint="eastAsia"/>
          <w:sz w:val="28"/>
          <w:szCs w:val="28"/>
        </w:rPr>
        <w:t>tem</w:t>
      </w:r>
      <w:r w:rsidR="009839AF">
        <w:rPr>
          <w:sz w:val="28"/>
          <w:szCs w:val="28"/>
        </w:rPr>
        <w:t xml:space="preserve">perature level </w:t>
      </w:r>
    </w:p>
    <w:p w14:paraId="1E5AB20F" w14:textId="5ACA32BA" w:rsidR="00DA24D9" w:rsidRPr="009839AF" w:rsidRDefault="00DA24D9" w:rsidP="009839AF">
      <w:pPr>
        <w:spacing w:line="360" w:lineRule="auto"/>
        <w:rPr>
          <w:sz w:val="28"/>
          <w:szCs w:val="28"/>
        </w:rPr>
      </w:pPr>
      <w:r w:rsidRPr="009839AF">
        <w:rPr>
          <w:b/>
          <w:bCs/>
          <w:sz w:val="28"/>
          <w:szCs w:val="28"/>
        </w:rPr>
        <w:t>Accessed:</w:t>
      </w:r>
      <w:r w:rsidR="00DF0BF0" w:rsidRPr="00DF0BF0">
        <w:rPr>
          <w:sz w:val="28"/>
          <w:szCs w:val="28"/>
        </w:rPr>
        <w:t xml:space="preserve"> </w:t>
      </w:r>
      <w:r w:rsidR="001B2509">
        <w:rPr>
          <w:sz w:val="28"/>
          <w:szCs w:val="28"/>
        </w:rPr>
        <w:t>2 November 2020</w:t>
      </w:r>
    </w:p>
    <w:tbl>
      <w:tblPr>
        <w:tblStyle w:val="GridTable4-Accent4"/>
        <w:tblW w:w="9392" w:type="dxa"/>
        <w:jc w:val="center"/>
        <w:tblLook w:val="04A0" w:firstRow="1" w:lastRow="0" w:firstColumn="1" w:lastColumn="0" w:noHBand="0" w:noVBand="1"/>
      </w:tblPr>
      <w:tblGrid>
        <w:gridCol w:w="9392"/>
      </w:tblGrid>
      <w:tr w:rsidR="00DA24D9" w14:paraId="42E48258" w14:textId="77777777" w:rsidTr="00824196">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9392" w:type="dxa"/>
          </w:tcPr>
          <w:p w14:paraId="186DAF23" w14:textId="77777777" w:rsidR="00DA24D9" w:rsidRPr="00824196" w:rsidRDefault="00DA24D9" w:rsidP="00DA24D9">
            <w:pPr>
              <w:jc w:val="center"/>
              <w:rPr>
                <w:sz w:val="28"/>
                <w:szCs w:val="28"/>
              </w:rPr>
            </w:pPr>
            <w:r w:rsidRPr="00824196">
              <w:rPr>
                <w:sz w:val="28"/>
                <w:szCs w:val="28"/>
              </w:rPr>
              <w:t>Key Findings</w:t>
            </w:r>
          </w:p>
        </w:tc>
      </w:tr>
      <w:tr w:rsidR="00DA24D9" w14:paraId="07B19581" w14:textId="77777777" w:rsidTr="001B2509">
        <w:trPr>
          <w:cnfStyle w:val="000000100000" w:firstRow="0" w:lastRow="0" w:firstColumn="0" w:lastColumn="0" w:oddVBand="0" w:evenVBand="0" w:oddHBand="1" w:evenHBand="0" w:firstRowFirstColumn="0" w:firstRowLastColumn="0" w:lastRowFirstColumn="0" w:lastRowLastColumn="0"/>
          <w:trHeight w:val="3062"/>
          <w:jc w:val="center"/>
        </w:trPr>
        <w:tc>
          <w:tcPr>
            <w:cnfStyle w:val="001000000000" w:firstRow="0" w:lastRow="0" w:firstColumn="1" w:lastColumn="0" w:oddVBand="0" w:evenVBand="0" w:oddHBand="0" w:evenHBand="0" w:firstRowFirstColumn="0" w:firstRowLastColumn="0" w:lastRowFirstColumn="0" w:lastRowLastColumn="0"/>
            <w:tcW w:w="9392" w:type="dxa"/>
          </w:tcPr>
          <w:p w14:paraId="2AE909C9" w14:textId="77777777" w:rsidR="009839AF" w:rsidRPr="009839AF" w:rsidRDefault="009839AF" w:rsidP="009839AF">
            <w:pPr>
              <w:jc w:val="both"/>
              <w:rPr>
                <w:b w:val="0"/>
                <w:bCs w:val="0"/>
              </w:rPr>
            </w:pPr>
            <w:r w:rsidRPr="009839AF">
              <w:rPr>
                <w:b w:val="0"/>
                <w:bCs w:val="0"/>
              </w:rPr>
              <w:t>This study is about the impact of the COVID-19 blockade on residential electricity demand in Australia. The study found significant differences in the impact of the blockade on states with different Australian temperatures. In the warmer state of Queensland, the reduction in energy use during the blockade was lower than during the same period in 2019, suggesting that the blockade had an impact, but not enough to offset the reduction in air conditioning loads. Comparatively, in the colder states, more households increased their electricity use during the blockade, likely due to increased daytime occupancy and increased demand for space heating. The timing of the blockade has an impact on the cost of energy use, including network demand. However, if the blockade occurs during the hot summer months, the impact on overall energy use is likely to be greater.</w:t>
            </w:r>
          </w:p>
          <w:p w14:paraId="53693F63" w14:textId="42CB230F" w:rsidR="00DA24D9" w:rsidRDefault="00DA24D9" w:rsidP="009839AF"/>
        </w:tc>
      </w:tr>
    </w:tbl>
    <w:p w14:paraId="42C135DA" w14:textId="77777777" w:rsidR="00DA24D9" w:rsidRDefault="00DA24D9"/>
    <w:tbl>
      <w:tblPr>
        <w:tblStyle w:val="GridTable4-Accent4"/>
        <w:tblW w:w="9413" w:type="dxa"/>
        <w:jc w:val="center"/>
        <w:tblLook w:val="04A0" w:firstRow="1" w:lastRow="0" w:firstColumn="1" w:lastColumn="0" w:noHBand="0" w:noVBand="1"/>
      </w:tblPr>
      <w:tblGrid>
        <w:gridCol w:w="9413"/>
      </w:tblGrid>
      <w:tr w:rsidR="00DA24D9" w14:paraId="55DB50EC" w14:textId="77777777" w:rsidTr="00824196">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9413" w:type="dxa"/>
          </w:tcPr>
          <w:p w14:paraId="093BCAAF" w14:textId="77777777" w:rsidR="00DA24D9" w:rsidRPr="00824196" w:rsidRDefault="00DA24D9" w:rsidP="00DA24D9">
            <w:pPr>
              <w:jc w:val="center"/>
              <w:rPr>
                <w:sz w:val="28"/>
                <w:szCs w:val="28"/>
              </w:rPr>
            </w:pPr>
            <w:r w:rsidRPr="00824196">
              <w:rPr>
                <w:sz w:val="28"/>
                <w:szCs w:val="28"/>
              </w:rPr>
              <w:t>Quotes</w:t>
            </w:r>
          </w:p>
        </w:tc>
      </w:tr>
      <w:tr w:rsidR="00DA24D9" w14:paraId="28F58E59" w14:textId="77777777" w:rsidTr="009839AF">
        <w:trPr>
          <w:cnfStyle w:val="000000100000" w:firstRow="0" w:lastRow="0" w:firstColumn="0" w:lastColumn="0" w:oddVBand="0" w:evenVBand="0" w:oddHBand="1" w:evenHBand="0" w:firstRowFirstColumn="0" w:firstRowLastColumn="0" w:lastRowFirstColumn="0" w:lastRowLastColumn="0"/>
          <w:trHeight w:val="1033"/>
          <w:jc w:val="center"/>
        </w:trPr>
        <w:tc>
          <w:tcPr>
            <w:cnfStyle w:val="001000000000" w:firstRow="0" w:lastRow="0" w:firstColumn="1" w:lastColumn="0" w:oddVBand="0" w:evenVBand="0" w:oddHBand="0" w:evenHBand="0" w:firstRowFirstColumn="0" w:firstRowLastColumn="0" w:lastRowFirstColumn="0" w:lastRowLastColumn="0"/>
            <w:tcW w:w="9413" w:type="dxa"/>
          </w:tcPr>
          <w:p w14:paraId="59BC5429" w14:textId="01BF1F47" w:rsidR="00DA24D9" w:rsidRPr="001B2509" w:rsidRDefault="001B2509" w:rsidP="001B2509">
            <w:pPr>
              <w:rPr>
                <w:b w:val="0"/>
                <w:bCs w:val="0"/>
              </w:rPr>
            </w:pPr>
            <w:r w:rsidRPr="001B2509">
              <w:rPr>
                <w:b w:val="0"/>
                <w:bCs w:val="0"/>
              </w:rPr>
              <w:t>Snow,</w:t>
            </w:r>
            <w:r w:rsidRPr="001B2509">
              <w:rPr>
                <w:b w:val="0"/>
                <w:bCs w:val="0"/>
              </w:rPr>
              <w:t xml:space="preserve"> S,</w:t>
            </w:r>
            <w:r w:rsidRPr="001B2509">
              <w:rPr>
                <w:b w:val="0"/>
                <w:bCs w:val="0"/>
              </w:rPr>
              <w:t xml:space="preserve"> Bean,</w:t>
            </w:r>
            <w:r w:rsidRPr="001B2509">
              <w:rPr>
                <w:b w:val="0"/>
                <w:bCs w:val="0"/>
              </w:rPr>
              <w:t xml:space="preserve"> R,</w:t>
            </w:r>
            <w:r w:rsidRPr="001B2509">
              <w:rPr>
                <w:b w:val="0"/>
                <w:bCs w:val="0"/>
              </w:rPr>
              <w:t xml:space="preserve"> Glencross</w:t>
            </w:r>
            <w:r w:rsidRPr="001B2509">
              <w:rPr>
                <w:b w:val="0"/>
                <w:bCs w:val="0"/>
              </w:rPr>
              <w:t>, M</w:t>
            </w:r>
            <w:r w:rsidRPr="001B2509">
              <w:rPr>
                <w:b w:val="0"/>
                <w:bCs w:val="0"/>
              </w:rPr>
              <w:t xml:space="preserve"> and </w:t>
            </w:r>
            <w:proofErr w:type="spellStart"/>
            <w:r w:rsidRPr="001B2509">
              <w:rPr>
                <w:b w:val="0"/>
                <w:bCs w:val="0"/>
              </w:rPr>
              <w:t>Horrocks</w:t>
            </w:r>
            <w:proofErr w:type="spellEnd"/>
            <w:r w:rsidRPr="001B2509">
              <w:rPr>
                <w:b w:val="0"/>
                <w:bCs w:val="0"/>
              </w:rPr>
              <w:t xml:space="preserve">, N. (2020) </w:t>
            </w:r>
            <w:r w:rsidRPr="001B2509">
              <w:rPr>
                <w:b w:val="0"/>
                <w:bCs w:val="0"/>
                <w:i/>
                <w:iCs/>
              </w:rPr>
              <w:t>Drivers behind Residential Electricity Demand Fluctuations Due to COVID-19 Restrictions</w:t>
            </w:r>
            <w:r w:rsidRPr="001B2509">
              <w:rPr>
                <w:b w:val="0"/>
                <w:bCs w:val="0"/>
              </w:rPr>
              <w:t xml:space="preserve">. MDPI. Available at: </w:t>
            </w:r>
            <w:hyperlink r:id="rId5" w:history="1">
              <w:r w:rsidRPr="001B2509">
                <w:rPr>
                  <w:rStyle w:val="Hyperlink"/>
                  <w:b w:val="0"/>
                  <w:bCs w:val="0"/>
                </w:rPr>
                <w:t>https://www.mdpi.com/1996-1073/13/21/5738</w:t>
              </w:r>
            </w:hyperlink>
          </w:p>
        </w:tc>
      </w:tr>
    </w:tbl>
    <w:p w14:paraId="6F62C3EC" w14:textId="77777777" w:rsidR="00DA24D9" w:rsidRDefault="00DA24D9"/>
    <w:tbl>
      <w:tblPr>
        <w:tblStyle w:val="GridTable4-Accent4"/>
        <w:tblpPr w:leftFromText="180" w:rightFromText="180" w:vertAnchor="text" w:horzAnchor="margin" w:tblpXSpec="center" w:tblpY="5"/>
        <w:tblW w:w="9437" w:type="dxa"/>
        <w:tblLook w:val="04A0" w:firstRow="1" w:lastRow="0" w:firstColumn="1" w:lastColumn="0" w:noHBand="0" w:noVBand="1"/>
      </w:tblPr>
      <w:tblGrid>
        <w:gridCol w:w="4248"/>
        <w:gridCol w:w="425"/>
        <w:gridCol w:w="4764"/>
      </w:tblGrid>
      <w:tr w:rsidR="00DA24D9" w14:paraId="31401461" w14:textId="77777777" w:rsidTr="00824196">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73" w:type="dxa"/>
            <w:gridSpan w:val="2"/>
          </w:tcPr>
          <w:p w14:paraId="3B031B89" w14:textId="77777777" w:rsidR="00DA24D9" w:rsidRPr="00DA24D9" w:rsidRDefault="00DA24D9" w:rsidP="00DA24D9">
            <w:pPr>
              <w:jc w:val="center"/>
              <w:rPr>
                <w:sz w:val="28"/>
                <w:szCs w:val="28"/>
              </w:rPr>
            </w:pPr>
            <w:r w:rsidRPr="00DA24D9">
              <w:rPr>
                <w:sz w:val="28"/>
                <w:szCs w:val="28"/>
              </w:rPr>
              <w:t>Strengths</w:t>
            </w:r>
          </w:p>
        </w:tc>
        <w:tc>
          <w:tcPr>
            <w:tcW w:w="4764" w:type="dxa"/>
          </w:tcPr>
          <w:p w14:paraId="014438B4" w14:textId="77777777" w:rsidR="00DA24D9" w:rsidRPr="00DA24D9" w:rsidRDefault="00DA24D9" w:rsidP="00DA24D9">
            <w:pPr>
              <w:jc w:val="center"/>
              <w:cnfStyle w:val="100000000000" w:firstRow="1" w:lastRow="0" w:firstColumn="0" w:lastColumn="0" w:oddVBand="0" w:evenVBand="0" w:oddHBand="0" w:evenHBand="0" w:firstRowFirstColumn="0" w:firstRowLastColumn="0" w:lastRowFirstColumn="0" w:lastRowLastColumn="0"/>
              <w:rPr>
                <w:sz w:val="28"/>
                <w:szCs w:val="28"/>
              </w:rPr>
            </w:pPr>
            <w:r w:rsidRPr="00DA24D9">
              <w:rPr>
                <w:sz w:val="28"/>
                <w:szCs w:val="28"/>
              </w:rPr>
              <w:t>Limitations</w:t>
            </w:r>
          </w:p>
        </w:tc>
      </w:tr>
      <w:tr w:rsidR="00DA24D9" w14:paraId="67A2DA0F" w14:textId="77777777" w:rsidTr="009839AF">
        <w:trPr>
          <w:cnfStyle w:val="000000100000" w:firstRow="0" w:lastRow="0" w:firstColumn="0" w:lastColumn="0" w:oddVBand="0" w:evenVBand="0" w:oddHBand="1" w:evenHBand="0" w:firstRowFirstColumn="0" w:firstRowLastColumn="0" w:lastRowFirstColumn="0" w:lastRowLastColumn="0"/>
          <w:trHeight w:val="3324"/>
        </w:trPr>
        <w:tc>
          <w:tcPr>
            <w:cnfStyle w:val="001000000000" w:firstRow="0" w:lastRow="0" w:firstColumn="1" w:lastColumn="0" w:oddVBand="0" w:evenVBand="0" w:oddHBand="0" w:evenHBand="0" w:firstRowFirstColumn="0" w:firstRowLastColumn="0" w:lastRowFirstColumn="0" w:lastRowLastColumn="0"/>
            <w:tcW w:w="4248" w:type="dxa"/>
          </w:tcPr>
          <w:p w14:paraId="025A8F8E" w14:textId="2DACD781" w:rsidR="00DA24D9" w:rsidRPr="009839AF" w:rsidRDefault="009839AF" w:rsidP="009839AF">
            <w:pPr>
              <w:jc w:val="both"/>
              <w:rPr>
                <w:b w:val="0"/>
                <w:bCs w:val="0"/>
              </w:rPr>
            </w:pPr>
            <w:r w:rsidRPr="009839AF">
              <w:rPr>
                <w:b w:val="0"/>
                <w:bCs w:val="0"/>
              </w:rPr>
              <w:t>The study used Smart Inverter Data and Per-circuit monitoring to gather detailed analysis of the impact of epidemic restrictions on individual consumption patterns in Australian households.</w:t>
            </w:r>
            <w:r>
              <w:rPr>
                <w:b w:val="0"/>
                <w:bCs w:val="0"/>
              </w:rPr>
              <w:t xml:space="preserve"> </w:t>
            </w:r>
          </w:p>
        </w:tc>
        <w:tc>
          <w:tcPr>
            <w:tcW w:w="5189" w:type="dxa"/>
            <w:gridSpan w:val="2"/>
          </w:tcPr>
          <w:p w14:paraId="588A8B98" w14:textId="77777777" w:rsidR="009839AF" w:rsidRDefault="009839AF" w:rsidP="009839AF">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The sample is primarily drawn from urban areas, with regional and remote areas of Australia under-represented.</w:t>
            </w:r>
          </w:p>
          <w:p w14:paraId="7E6FA491" w14:textId="77777777" w:rsidR="009839AF" w:rsidRDefault="009839AF" w:rsidP="009839AF">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Household size, demographics and occupancy characteristics were not available from the dataset, so it was not possible to control for socio-economic status or occupancy type.</w:t>
            </w:r>
          </w:p>
          <w:p w14:paraId="6741F00C" w14:textId="26A40C11" w:rsidR="00DA24D9" w:rsidRDefault="009839AF" w:rsidP="009839AF">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The small sample size of houses monitored in each circuit limits the generalisability of the findings.</w:t>
            </w:r>
          </w:p>
        </w:tc>
      </w:tr>
    </w:tbl>
    <w:p w14:paraId="6D945481" w14:textId="77777777" w:rsidR="00DA24D9" w:rsidRDefault="00DA24D9"/>
    <w:sectPr w:rsidR="00DA2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823DB"/>
    <w:multiLevelType w:val="hybridMultilevel"/>
    <w:tmpl w:val="DFE84B76"/>
    <w:lvl w:ilvl="0" w:tplc="D7DC90D6">
      <w:start w:val="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76"/>
    <w:rsid w:val="000626F6"/>
    <w:rsid w:val="001B2509"/>
    <w:rsid w:val="00527376"/>
    <w:rsid w:val="00824196"/>
    <w:rsid w:val="009839AF"/>
    <w:rsid w:val="00DA24D9"/>
    <w:rsid w:val="00DE335F"/>
    <w:rsid w:val="00DF0BF0"/>
    <w:rsid w:val="00E212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E42C99"/>
  <w15:chartTrackingRefBased/>
  <w15:docId w15:val="{7BFD49AC-C01E-E24D-933D-AE45399D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4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A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DA24D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9839AF"/>
    <w:pPr>
      <w:ind w:left="720"/>
      <w:contextualSpacing/>
    </w:pPr>
  </w:style>
  <w:style w:type="character" w:styleId="Hyperlink">
    <w:name w:val="Hyperlink"/>
    <w:basedOn w:val="DefaultParagraphFont"/>
    <w:uiPriority w:val="99"/>
    <w:unhideWhenUsed/>
    <w:rsid w:val="009839AF"/>
    <w:rPr>
      <w:color w:val="0563C1" w:themeColor="hyperlink"/>
      <w:u w:val="single"/>
    </w:rPr>
  </w:style>
  <w:style w:type="character" w:styleId="UnresolvedMention">
    <w:name w:val="Unresolved Mention"/>
    <w:basedOn w:val="DefaultParagraphFont"/>
    <w:uiPriority w:val="99"/>
    <w:semiHidden/>
    <w:unhideWhenUsed/>
    <w:rsid w:val="009839AF"/>
    <w:rPr>
      <w:color w:val="605E5C"/>
      <w:shd w:val="clear" w:color="auto" w:fill="E1DFDD"/>
    </w:rPr>
  </w:style>
  <w:style w:type="character" w:styleId="FollowedHyperlink">
    <w:name w:val="FollowedHyperlink"/>
    <w:basedOn w:val="DefaultParagraphFont"/>
    <w:uiPriority w:val="99"/>
    <w:semiHidden/>
    <w:unhideWhenUsed/>
    <w:rsid w:val="001B2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1996-1073/13/21/5738"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uz/Library/Group%20Containers/UBF8T346G9.Office/User%20Content.localized/Templates.localized/Article%20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 Summary.dotx</Template>
  <TotalTime>0</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Zhongyuan.Zhang</cp:lastModifiedBy>
  <cp:revision>2</cp:revision>
  <dcterms:created xsi:type="dcterms:W3CDTF">2023-04-03T09:08:00Z</dcterms:created>
  <dcterms:modified xsi:type="dcterms:W3CDTF">2023-04-03T09:08:00Z</dcterms:modified>
</cp:coreProperties>
</file>