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E48CA" w14:textId="77777777" w:rsidR="00DA24D9" w:rsidRPr="00824196" w:rsidRDefault="00DA24D9" w:rsidP="00824196">
      <w:pPr>
        <w:pStyle w:val="Title"/>
        <w:spacing w:line="276" w:lineRule="auto"/>
        <w:jc w:val="center"/>
        <w:rPr>
          <w:b/>
          <w:bCs/>
        </w:rPr>
      </w:pPr>
      <w:r w:rsidRPr="00824196">
        <w:rPr>
          <w:b/>
          <w:bCs/>
        </w:rPr>
        <w:t>Article Summary</w:t>
      </w:r>
    </w:p>
    <w:p w14:paraId="056B34CB" w14:textId="0147C467" w:rsidR="00DA24D9" w:rsidRPr="00824196" w:rsidRDefault="00DA24D9" w:rsidP="00824196">
      <w:pPr>
        <w:spacing w:line="360" w:lineRule="auto"/>
        <w:rPr>
          <w:sz w:val="28"/>
          <w:szCs w:val="28"/>
        </w:rPr>
      </w:pPr>
      <w:r w:rsidRPr="00E42B51">
        <w:rPr>
          <w:b/>
          <w:bCs/>
          <w:sz w:val="28"/>
          <w:szCs w:val="28"/>
        </w:rPr>
        <w:t>Title:</w:t>
      </w:r>
      <w:r w:rsidR="00824196" w:rsidRPr="00824196">
        <w:rPr>
          <w:sz w:val="28"/>
          <w:szCs w:val="28"/>
        </w:rPr>
        <w:t xml:space="preserve"> </w:t>
      </w:r>
      <w:r w:rsidR="00AB0757" w:rsidRPr="00AB72DB">
        <w:rPr>
          <w:i/>
          <w:iCs/>
          <w:sz w:val="28"/>
          <w:szCs w:val="28"/>
        </w:rPr>
        <w:t>Energy Consumption and Carbon Emissions of Mandatory Green Certified Offices in Australia: Evidence and Lessons Learnt across 2011–2020</w:t>
      </w:r>
    </w:p>
    <w:p w14:paraId="7CD50731" w14:textId="560C65CB" w:rsidR="00DA24D9" w:rsidRPr="00824196" w:rsidRDefault="00DA24D9" w:rsidP="00824196">
      <w:pPr>
        <w:spacing w:line="360" w:lineRule="auto"/>
        <w:rPr>
          <w:sz w:val="28"/>
          <w:szCs w:val="28"/>
        </w:rPr>
      </w:pPr>
      <w:r w:rsidRPr="00E42B51">
        <w:rPr>
          <w:b/>
          <w:bCs/>
          <w:sz w:val="28"/>
          <w:szCs w:val="28"/>
        </w:rPr>
        <w:t>Author(s):</w:t>
      </w:r>
      <w:r w:rsidRPr="00824196">
        <w:rPr>
          <w:sz w:val="28"/>
          <w:szCs w:val="28"/>
        </w:rPr>
        <w:t xml:space="preserve"> </w:t>
      </w:r>
      <w:proofErr w:type="spellStart"/>
      <w:r w:rsidR="00AB0757" w:rsidRPr="00AB0757">
        <w:rPr>
          <w:sz w:val="28"/>
          <w:szCs w:val="28"/>
        </w:rPr>
        <w:t>Sumin</w:t>
      </w:r>
      <w:proofErr w:type="spellEnd"/>
      <w:r w:rsidR="00AB0757" w:rsidRPr="00AB0757">
        <w:rPr>
          <w:sz w:val="28"/>
          <w:szCs w:val="28"/>
        </w:rPr>
        <w:t xml:space="preserve"> </w:t>
      </w:r>
      <w:proofErr w:type="spellStart"/>
      <w:proofErr w:type="gramStart"/>
      <w:r w:rsidR="00AB0757" w:rsidRPr="00AB0757">
        <w:rPr>
          <w:sz w:val="28"/>
          <w:szCs w:val="28"/>
        </w:rPr>
        <w:t>Kim,Benson</w:t>
      </w:r>
      <w:proofErr w:type="spellEnd"/>
      <w:proofErr w:type="gramEnd"/>
      <w:r w:rsidR="00AB0757" w:rsidRPr="00AB0757">
        <w:rPr>
          <w:sz w:val="28"/>
          <w:szCs w:val="28"/>
        </w:rPr>
        <w:t xml:space="preserve"> Teck Heng Lim and</w:t>
      </w:r>
      <w:r w:rsidR="00AB0757">
        <w:rPr>
          <w:sz w:val="28"/>
          <w:szCs w:val="28"/>
        </w:rPr>
        <w:t xml:space="preserve"> </w:t>
      </w:r>
      <w:r w:rsidR="00AB0757" w:rsidRPr="00AB0757">
        <w:rPr>
          <w:sz w:val="28"/>
          <w:szCs w:val="28"/>
        </w:rPr>
        <w:t xml:space="preserve">Bee Lan </w:t>
      </w:r>
      <w:proofErr w:type="spellStart"/>
      <w:r w:rsidR="00AB0757" w:rsidRPr="00AB0757">
        <w:rPr>
          <w:sz w:val="28"/>
          <w:szCs w:val="28"/>
        </w:rPr>
        <w:t>Oo</w:t>
      </w:r>
      <w:proofErr w:type="spellEnd"/>
    </w:p>
    <w:p w14:paraId="1381CC87" w14:textId="766971CA" w:rsidR="00DA24D9" w:rsidRPr="00824196" w:rsidRDefault="00DA24D9" w:rsidP="00824196">
      <w:pPr>
        <w:spacing w:line="360" w:lineRule="auto"/>
        <w:rPr>
          <w:sz w:val="28"/>
          <w:szCs w:val="28"/>
        </w:rPr>
      </w:pPr>
      <w:r w:rsidRPr="00E42B51">
        <w:rPr>
          <w:b/>
          <w:bCs/>
          <w:sz w:val="28"/>
          <w:szCs w:val="28"/>
        </w:rPr>
        <w:t>Keywords:</w:t>
      </w:r>
      <w:r w:rsidRPr="00824196">
        <w:rPr>
          <w:sz w:val="28"/>
          <w:szCs w:val="28"/>
        </w:rPr>
        <w:t xml:space="preserve"> </w:t>
      </w:r>
      <w:r w:rsidR="00AB0757">
        <w:rPr>
          <w:rFonts w:hint="eastAsia"/>
          <w:sz w:val="28"/>
          <w:szCs w:val="28"/>
        </w:rPr>
        <w:t>Au</w:t>
      </w:r>
      <w:r w:rsidR="00AB0757">
        <w:rPr>
          <w:sz w:val="28"/>
          <w:szCs w:val="28"/>
        </w:rPr>
        <w:t xml:space="preserve">stralian green building market, energy consumption, </w:t>
      </w:r>
      <w:proofErr w:type="spellStart"/>
      <w:r w:rsidR="00AB0757">
        <w:rPr>
          <w:sz w:val="28"/>
          <w:szCs w:val="28"/>
        </w:rPr>
        <w:t>GreenPower</w:t>
      </w:r>
      <w:proofErr w:type="spellEnd"/>
      <w:r w:rsidR="00AB0757">
        <w:rPr>
          <w:sz w:val="28"/>
          <w:szCs w:val="28"/>
        </w:rPr>
        <w:t>, NABERS</w:t>
      </w:r>
    </w:p>
    <w:p w14:paraId="33A54E55" w14:textId="55A33621" w:rsidR="00DA24D9" w:rsidRPr="002679DE" w:rsidRDefault="00DA24D9" w:rsidP="00C525A7">
      <w:pPr>
        <w:spacing w:line="360" w:lineRule="auto"/>
        <w:rPr>
          <w:sz w:val="28"/>
          <w:szCs w:val="28"/>
        </w:rPr>
      </w:pPr>
      <w:r w:rsidRPr="002679DE">
        <w:rPr>
          <w:b/>
          <w:bCs/>
          <w:sz w:val="28"/>
          <w:szCs w:val="28"/>
        </w:rPr>
        <w:t>Accessed:</w:t>
      </w:r>
      <w:r w:rsidR="000B7421">
        <w:rPr>
          <w:b/>
          <w:bCs/>
          <w:sz w:val="28"/>
          <w:szCs w:val="28"/>
        </w:rPr>
        <w:t xml:space="preserve"> </w:t>
      </w:r>
      <w:r w:rsidR="00A45D6E">
        <w:rPr>
          <w:sz w:val="28"/>
          <w:szCs w:val="28"/>
        </w:rPr>
        <w:t>24 October 2022</w:t>
      </w:r>
    </w:p>
    <w:tbl>
      <w:tblPr>
        <w:tblStyle w:val="GridTable4-Accent4"/>
        <w:tblW w:w="9392" w:type="dxa"/>
        <w:jc w:val="center"/>
        <w:tblLook w:val="04A0" w:firstRow="1" w:lastRow="0" w:firstColumn="1" w:lastColumn="0" w:noHBand="0" w:noVBand="1"/>
      </w:tblPr>
      <w:tblGrid>
        <w:gridCol w:w="9392"/>
      </w:tblGrid>
      <w:tr w:rsidR="00DA24D9" w14:paraId="0729B6C3" w14:textId="77777777" w:rsidTr="00824196">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9392" w:type="dxa"/>
          </w:tcPr>
          <w:p w14:paraId="67BADFD4" w14:textId="77777777" w:rsidR="00DA24D9" w:rsidRPr="00824196" w:rsidRDefault="00DA24D9" w:rsidP="00DA24D9">
            <w:pPr>
              <w:jc w:val="center"/>
              <w:rPr>
                <w:sz w:val="28"/>
                <w:szCs w:val="28"/>
              </w:rPr>
            </w:pPr>
            <w:r w:rsidRPr="00824196">
              <w:rPr>
                <w:sz w:val="28"/>
                <w:szCs w:val="28"/>
              </w:rPr>
              <w:t>Key Findings</w:t>
            </w:r>
          </w:p>
        </w:tc>
      </w:tr>
      <w:tr w:rsidR="00DA24D9" w14:paraId="6A25B851" w14:textId="77777777" w:rsidTr="00824196">
        <w:trPr>
          <w:cnfStyle w:val="000000100000" w:firstRow="0" w:lastRow="0" w:firstColumn="0" w:lastColumn="0" w:oddVBand="0" w:evenVBand="0" w:oddHBand="1" w:evenHBand="0" w:firstRowFirstColumn="0" w:firstRowLastColumn="0" w:lastRowFirstColumn="0" w:lastRowLastColumn="0"/>
          <w:trHeight w:val="2960"/>
          <w:jc w:val="center"/>
        </w:trPr>
        <w:tc>
          <w:tcPr>
            <w:cnfStyle w:val="001000000000" w:firstRow="0" w:lastRow="0" w:firstColumn="1" w:lastColumn="0" w:oddVBand="0" w:evenVBand="0" w:oddHBand="0" w:evenHBand="0" w:firstRowFirstColumn="0" w:firstRowLastColumn="0" w:lastRowFirstColumn="0" w:lastRowLastColumn="0"/>
            <w:tcW w:w="9392" w:type="dxa"/>
          </w:tcPr>
          <w:p w14:paraId="66551C26" w14:textId="10899E4A" w:rsidR="00DA24D9" w:rsidRPr="00C525A7" w:rsidRDefault="00C525A7" w:rsidP="00C525A7">
            <w:pPr>
              <w:jc w:val="both"/>
              <w:rPr>
                <w:b w:val="0"/>
                <w:bCs w:val="0"/>
              </w:rPr>
            </w:pPr>
            <w:r w:rsidRPr="00C525A7">
              <w:rPr>
                <w:b w:val="0"/>
                <w:bCs w:val="0"/>
              </w:rPr>
              <w:t xml:space="preserve">This research investigates the Australian green building market, including NABERS accreditation and the Commercial Building Disclosure Scheme. It highlights that each Australian green building market is unique and that the factors that influence stakeholders' decisions to buy, lease or sublease green offices vary. The study found that converting a non-green office to a green office often results in additional energy savings, but sometimes the cost of the upgrade may not result in real energy savings. In addition, the study shows that while energy consumption and carbon emissions are not always proportional. Various factors such as rating range, energy type, </w:t>
            </w:r>
            <w:proofErr w:type="spellStart"/>
            <w:r w:rsidRPr="00C525A7">
              <w:rPr>
                <w:b w:val="0"/>
                <w:bCs w:val="0"/>
              </w:rPr>
              <w:t>GreenPower</w:t>
            </w:r>
            <w:proofErr w:type="spellEnd"/>
            <w:r w:rsidRPr="00C525A7">
              <w:rPr>
                <w:b w:val="0"/>
                <w:bCs w:val="0"/>
              </w:rPr>
              <w:t xml:space="preserve"> use, building design and geographical location can all contribute to this difference. In conclusion, while improving energy efficiency is important, highlighting the non-operational benefits of NABERS accreditation may be necessary to increase the number of highly rated offices.</w:t>
            </w:r>
          </w:p>
        </w:tc>
      </w:tr>
    </w:tbl>
    <w:p w14:paraId="441CE573" w14:textId="77777777" w:rsidR="00DA24D9" w:rsidRDefault="00DA24D9"/>
    <w:tbl>
      <w:tblPr>
        <w:tblStyle w:val="GridTable4-Accent4"/>
        <w:tblW w:w="9413" w:type="dxa"/>
        <w:jc w:val="center"/>
        <w:tblLook w:val="04A0" w:firstRow="1" w:lastRow="0" w:firstColumn="1" w:lastColumn="0" w:noHBand="0" w:noVBand="1"/>
      </w:tblPr>
      <w:tblGrid>
        <w:gridCol w:w="9413"/>
      </w:tblGrid>
      <w:tr w:rsidR="00DA24D9" w14:paraId="17108BA7" w14:textId="77777777" w:rsidTr="00824196">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9413" w:type="dxa"/>
          </w:tcPr>
          <w:p w14:paraId="239B4771" w14:textId="77777777" w:rsidR="00DA24D9" w:rsidRPr="00824196" w:rsidRDefault="00DA24D9" w:rsidP="00DA24D9">
            <w:pPr>
              <w:jc w:val="center"/>
              <w:rPr>
                <w:sz w:val="28"/>
                <w:szCs w:val="28"/>
              </w:rPr>
            </w:pPr>
            <w:r w:rsidRPr="00824196">
              <w:rPr>
                <w:sz w:val="28"/>
                <w:szCs w:val="28"/>
              </w:rPr>
              <w:t>Quotes</w:t>
            </w:r>
          </w:p>
        </w:tc>
      </w:tr>
      <w:tr w:rsidR="00DA24D9" w14:paraId="17E27EEB" w14:textId="77777777" w:rsidTr="00AB0757">
        <w:trPr>
          <w:cnfStyle w:val="000000100000" w:firstRow="0" w:lastRow="0" w:firstColumn="0" w:lastColumn="0" w:oddVBand="0" w:evenVBand="0" w:oddHBand="1"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9413" w:type="dxa"/>
          </w:tcPr>
          <w:p w14:paraId="70CA31B9" w14:textId="036A0B1C" w:rsidR="00DA24D9" w:rsidRPr="00A45D6E" w:rsidRDefault="00A45D6E" w:rsidP="00A45D6E">
            <w:pPr>
              <w:rPr>
                <w:b w:val="0"/>
                <w:bCs w:val="0"/>
              </w:rPr>
            </w:pPr>
            <w:r w:rsidRPr="00A45D6E">
              <w:rPr>
                <w:b w:val="0"/>
                <w:bCs w:val="0"/>
              </w:rPr>
              <w:t xml:space="preserve">Kim, </w:t>
            </w:r>
            <w:r w:rsidRPr="00A45D6E">
              <w:rPr>
                <w:rFonts w:hint="eastAsia"/>
                <w:b w:val="0"/>
                <w:bCs w:val="0"/>
              </w:rPr>
              <w:t>S</w:t>
            </w:r>
            <w:r w:rsidRPr="00A45D6E">
              <w:rPr>
                <w:b w:val="0"/>
                <w:bCs w:val="0"/>
              </w:rPr>
              <w:t xml:space="preserve">, Lim, B.T.H, and </w:t>
            </w:r>
            <w:proofErr w:type="spellStart"/>
            <w:r w:rsidRPr="00A45D6E">
              <w:rPr>
                <w:b w:val="0"/>
                <w:bCs w:val="0"/>
              </w:rPr>
              <w:t>Oo</w:t>
            </w:r>
            <w:proofErr w:type="spellEnd"/>
            <w:r w:rsidRPr="00A45D6E">
              <w:rPr>
                <w:b w:val="0"/>
                <w:bCs w:val="0"/>
              </w:rPr>
              <w:t xml:space="preserve">, B.L. (2022). </w:t>
            </w:r>
            <w:r w:rsidRPr="00A45D6E">
              <w:rPr>
                <w:b w:val="0"/>
                <w:bCs w:val="0"/>
                <w:i/>
                <w:iCs/>
              </w:rPr>
              <w:t>Energy Consumption and Carbon Emissions of Mandatory Green Certified Offices in Australia: Evidence and Lessons Learnt across 2011–2020</w:t>
            </w:r>
            <w:r w:rsidRPr="00A45D6E">
              <w:rPr>
                <w:b w:val="0"/>
                <w:bCs w:val="0"/>
              </w:rPr>
              <w:t xml:space="preserve">. MDPI. Available at: </w:t>
            </w:r>
            <w:hyperlink r:id="rId5" w:history="1">
              <w:r w:rsidRPr="00A45D6E">
                <w:rPr>
                  <w:rStyle w:val="Hyperlink"/>
                  <w:b w:val="0"/>
                  <w:bCs w:val="0"/>
                </w:rPr>
                <w:t>https://www.mdpi.com/2071-1050/14/21/13773</w:t>
              </w:r>
            </w:hyperlink>
          </w:p>
        </w:tc>
      </w:tr>
    </w:tbl>
    <w:p w14:paraId="672BC8D2" w14:textId="77777777" w:rsidR="00DA24D9" w:rsidRDefault="00DA24D9"/>
    <w:tbl>
      <w:tblPr>
        <w:tblStyle w:val="GridTable4-Accent4"/>
        <w:tblpPr w:leftFromText="180" w:rightFromText="180" w:vertAnchor="text" w:horzAnchor="margin" w:tblpXSpec="center" w:tblpY="5"/>
        <w:tblW w:w="9437" w:type="dxa"/>
        <w:tblLook w:val="04A0" w:firstRow="1" w:lastRow="0" w:firstColumn="1" w:lastColumn="0" w:noHBand="0" w:noVBand="1"/>
      </w:tblPr>
      <w:tblGrid>
        <w:gridCol w:w="4673"/>
        <w:gridCol w:w="4764"/>
      </w:tblGrid>
      <w:tr w:rsidR="00DA24D9" w14:paraId="0A7078BA" w14:textId="77777777" w:rsidTr="00824196">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673" w:type="dxa"/>
          </w:tcPr>
          <w:p w14:paraId="15C41D1F" w14:textId="77777777" w:rsidR="00DA24D9" w:rsidRPr="00DA24D9" w:rsidRDefault="00DA24D9" w:rsidP="00DA24D9">
            <w:pPr>
              <w:jc w:val="center"/>
              <w:rPr>
                <w:sz w:val="28"/>
                <w:szCs w:val="28"/>
              </w:rPr>
            </w:pPr>
            <w:r w:rsidRPr="00DA24D9">
              <w:rPr>
                <w:sz w:val="28"/>
                <w:szCs w:val="28"/>
              </w:rPr>
              <w:t>Strengths</w:t>
            </w:r>
          </w:p>
        </w:tc>
        <w:tc>
          <w:tcPr>
            <w:tcW w:w="4764" w:type="dxa"/>
          </w:tcPr>
          <w:p w14:paraId="1F9DF944" w14:textId="77777777" w:rsidR="00DA24D9" w:rsidRPr="00DA24D9" w:rsidRDefault="00DA24D9" w:rsidP="00DA24D9">
            <w:pPr>
              <w:jc w:val="center"/>
              <w:cnfStyle w:val="100000000000" w:firstRow="1" w:lastRow="0" w:firstColumn="0" w:lastColumn="0" w:oddVBand="0" w:evenVBand="0" w:oddHBand="0" w:evenHBand="0" w:firstRowFirstColumn="0" w:firstRowLastColumn="0" w:lastRowFirstColumn="0" w:lastRowLastColumn="0"/>
              <w:rPr>
                <w:sz w:val="28"/>
                <w:szCs w:val="28"/>
              </w:rPr>
            </w:pPr>
            <w:r w:rsidRPr="00DA24D9">
              <w:rPr>
                <w:sz w:val="28"/>
                <w:szCs w:val="28"/>
              </w:rPr>
              <w:t>Limitations</w:t>
            </w:r>
          </w:p>
        </w:tc>
      </w:tr>
      <w:tr w:rsidR="00DA24D9" w14:paraId="6574CEDC" w14:textId="77777777" w:rsidTr="00824196">
        <w:trPr>
          <w:cnfStyle w:val="000000100000" w:firstRow="0" w:lastRow="0" w:firstColumn="0" w:lastColumn="0" w:oddVBand="0" w:evenVBand="0" w:oddHBand="1" w:evenHBand="0" w:firstRowFirstColumn="0" w:firstRowLastColumn="0" w:lastRowFirstColumn="0" w:lastRowLastColumn="0"/>
          <w:trHeight w:val="3222"/>
        </w:trPr>
        <w:tc>
          <w:tcPr>
            <w:cnfStyle w:val="001000000000" w:firstRow="0" w:lastRow="0" w:firstColumn="1" w:lastColumn="0" w:oddVBand="0" w:evenVBand="0" w:oddHBand="0" w:evenHBand="0" w:firstRowFirstColumn="0" w:firstRowLastColumn="0" w:lastRowFirstColumn="0" w:lastRowLastColumn="0"/>
            <w:tcW w:w="4673" w:type="dxa"/>
          </w:tcPr>
          <w:p w14:paraId="1FA0FBB0" w14:textId="2381937A" w:rsidR="00AB0757" w:rsidRPr="00AB0757" w:rsidRDefault="00AB0757" w:rsidP="00AB0757">
            <w:pPr>
              <w:pStyle w:val="ListParagraph"/>
              <w:numPr>
                <w:ilvl w:val="0"/>
                <w:numId w:val="1"/>
              </w:numPr>
              <w:jc w:val="both"/>
              <w:rPr>
                <w:b w:val="0"/>
                <w:bCs w:val="0"/>
              </w:rPr>
            </w:pPr>
            <w:r w:rsidRPr="00AB0757">
              <w:rPr>
                <w:b w:val="0"/>
                <w:bCs w:val="0"/>
              </w:rPr>
              <w:t xml:space="preserve">The study highlights the uniqueness of each Australian green building market, emphasizing the various factors that influence stakeholders' decisions and the need to consider these factors in policymaking and practice. </w:t>
            </w:r>
          </w:p>
          <w:p w14:paraId="56BE05D9" w14:textId="77777777" w:rsidR="00AB0757" w:rsidRPr="00AB0757" w:rsidRDefault="00AB0757" w:rsidP="00AB0757">
            <w:pPr>
              <w:pStyle w:val="ListParagraph"/>
              <w:numPr>
                <w:ilvl w:val="0"/>
                <w:numId w:val="1"/>
              </w:numPr>
              <w:jc w:val="both"/>
              <w:rPr>
                <w:b w:val="0"/>
                <w:bCs w:val="0"/>
              </w:rPr>
            </w:pPr>
            <w:r w:rsidRPr="00AB0757">
              <w:rPr>
                <w:b w:val="0"/>
                <w:bCs w:val="0"/>
              </w:rPr>
              <w:t>It explores the relationship between energy consumption, carbon emissions, and NABERS ratings, providing valuable information on the effectiveness of the certification in achieving energy savings and carbon reductions.</w:t>
            </w:r>
          </w:p>
          <w:p w14:paraId="17D434F0" w14:textId="723E2FD5" w:rsidR="00DA24D9" w:rsidRPr="00AB0757" w:rsidRDefault="00AB0757" w:rsidP="00AB0757">
            <w:pPr>
              <w:pStyle w:val="ListParagraph"/>
              <w:numPr>
                <w:ilvl w:val="0"/>
                <w:numId w:val="1"/>
              </w:numPr>
              <w:jc w:val="both"/>
            </w:pPr>
            <w:r w:rsidRPr="00AB0757">
              <w:rPr>
                <w:b w:val="0"/>
                <w:bCs w:val="0"/>
              </w:rPr>
              <w:lastRenderedPageBreak/>
              <w:t>It emphasizes the importance of the non-operational benefits of NABERS certification in promoting green buildings and attracting building stakeholders.</w:t>
            </w:r>
          </w:p>
        </w:tc>
        <w:tc>
          <w:tcPr>
            <w:tcW w:w="4764" w:type="dxa"/>
          </w:tcPr>
          <w:p w14:paraId="4AAB9447" w14:textId="77777777" w:rsidR="00AB0757" w:rsidRDefault="00AB0757" w:rsidP="00E42B51">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pPr>
            <w:r>
              <w:lastRenderedPageBreak/>
              <w:t>The study's analysis is restricted due to the lack of data associated with other regulations and voluntary adoptions (e.g., Green Star), limiting the ability to compare their effectiveness.</w:t>
            </w:r>
          </w:p>
          <w:p w14:paraId="7EDD929E" w14:textId="77777777" w:rsidR="00AB0757" w:rsidRDefault="00AB0757" w:rsidP="00E42B51">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pPr>
            <w:r>
              <w:t xml:space="preserve">The research does not fully explore the extent to which desired results are achieved by various green building regulations in Australia. </w:t>
            </w:r>
          </w:p>
          <w:p w14:paraId="42FFABF6" w14:textId="1259173F" w:rsidR="00DA24D9" w:rsidRDefault="00AB0757" w:rsidP="00E42B51">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pPr>
            <w:r>
              <w:t xml:space="preserve">It does not consider or model the varying energy savings and carbon emission reductions across different capital cities or the role of climate </w:t>
            </w:r>
            <w:r>
              <w:lastRenderedPageBreak/>
              <w:t>zones, building height, or floor levels in shaping these potentials.</w:t>
            </w:r>
          </w:p>
        </w:tc>
      </w:tr>
    </w:tbl>
    <w:p w14:paraId="4D30CD99" w14:textId="77777777" w:rsidR="00DA24D9" w:rsidRDefault="00DA24D9"/>
    <w:sectPr w:rsidR="00DA2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6070A"/>
    <w:multiLevelType w:val="hybridMultilevel"/>
    <w:tmpl w:val="98C40098"/>
    <w:lvl w:ilvl="0" w:tplc="F40AD6EC">
      <w:start w:val="2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A7"/>
    <w:rsid w:val="000B7421"/>
    <w:rsid w:val="002679DE"/>
    <w:rsid w:val="004E5DE0"/>
    <w:rsid w:val="00824196"/>
    <w:rsid w:val="00A45D6E"/>
    <w:rsid w:val="00AB0757"/>
    <w:rsid w:val="00AB72DB"/>
    <w:rsid w:val="00C525A7"/>
    <w:rsid w:val="00DA24D9"/>
    <w:rsid w:val="00E2123E"/>
    <w:rsid w:val="00E42B5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471EC3"/>
  <w15:chartTrackingRefBased/>
  <w15:docId w15:val="{6121C082-AF3C-614B-9828-2384A92A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4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4D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A2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DA24D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ListParagraph">
    <w:name w:val="List Paragraph"/>
    <w:basedOn w:val="Normal"/>
    <w:uiPriority w:val="34"/>
    <w:qFormat/>
    <w:rsid w:val="00AB0757"/>
    <w:pPr>
      <w:ind w:left="720"/>
      <w:contextualSpacing/>
    </w:pPr>
  </w:style>
  <w:style w:type="character" w:styleId="Hyperlink">
    <w:name w:val="Hyperlink"/>
    <w:basedOn w:val="DefaultParagraphFont"/>
    <w:uiPriority w:val="99"/>
    <w:unhideWhenUsed/>
    <w:rsid w:val="002679DE"/>
    <w:rPr>
      <w:color w:val="0563C1" w:themeColor="hyperlink"/>
      <w:u w:val="single"/>
    </w:rPr>
  </w:style>
  <w:style w:type="character" w:styleId="UnresolvedMention">
    <w:name w:val="Unresolved Mention"/>
    <w:basedOn w:val="DefaultParagraphFont"/>
    <w:uiPriority w:val="99"/>
    <w:semiHidden/>
    <w:unhideWhenUsed/>
    <w:rsid w:val="002679DE"/>
    <w:rPr>
      <w:color w:val="605E5C"/>
      <w:shd w:val="clear" w:color="auto" w:fill="E1DFDD"/>
    </w:rPr>
  </w:style>
  <w:style w:type="character" w:styleId="FollowedHyperlink">
    <w:name w:val="FollowedHyperlink"/>
    <w:basedOn w:val="DefaultParagraphFont"/>
    <w:uiPriority w:val="99"/>
    <w:semiHidden/>
    <w:unhideWhenUsed/>
    <w:rsid w:val="00A45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dpi.com/2071-1050/14/21/13773"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uz/Library/Group%20Containers/UBF8T346G9.Office/User%20Content.localized/Templates.localized/Article%20Summa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Article Summary.dotx</Template>
  <TotalTime>0</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Zhongyuan.Zhang</cp:lastModifiedBy>
  <cp:revision>2</cp:revision>
  <dcterms:created xsi:type="dcterms:W3CDTF">2023-04-03T09:08:00Z</dcterms:created>
  <dcterms:modified xsi:type="dcterms:W3CDTF">2023-04-03T09:08:00Z</dcterms:modified>
</cp:coreProperties>
</file>