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96AD" w14:textId="7F34BEE0" w:rsidR="00FB0CD2" w:rsidRPr="009E1660" w:rsidRDefault="00FB0CD2" w:rsidP="00FB0CD2">
      <w:pPr>
        <w:pStyle w:val="Title"/>
        <w:spacing w:line="276" w:lineRule="auto"/>
        <w:jc w:val="center"/>
        <w:rPr>
          <w:rFonts w:ascii="Calibri" w:hAnsi="Calibri" w:cs="Calibri"/>
          <w:b/>
          <w:bCs/>
          <w:sz w:val="40"/>
          <w:szCs w:val="40"/>
        </w:rPr>
      </w:pPr>
      <w:r w:rsidRPr="009E1660">
        <w:rPr>
          <w:rFonts w:ascii="Calibri" w:hAnsi="Calibri" w:cs="Calibri"/>
          <w:b/>
          <w:bCs/>
          <w:sz w:val="40"/>
          <w:szCs w:val="40"/>
        </w:rPr>
        <w:t>Article Summary</w:t>
      </w:r>
    </w:p>
    <w:p w14:paraId="30B169B4" w14:textId="12A9E033" w:rsidR="00FB0CD2" w:rsidRPr="007345BD" w:rsidRDefault="00FB0CD2" w:rsidP="00FB0CD2">
      <w:pPr>
        <w:spacing w:after="120" w:line="276" w:lineRule="auto"/>
        <w:rPr>
          <w:rFonts w:ascii="Calibri" w:hAnsi="Calibri" w:cs="Calibri"/>
        </w:rPr>
      </w:pPr>
      <w:r w:rsidRPr="007345BD">
        <w:rPr>
          <w:rFonts w:ascii="Calibri" w:hAnsi="Calibri" w:cs="Calibri"/>
          <w:b/>
          <w:bCs/>
        </w:rPr>
        <w:t>Title</w:t>
      </w:r>
      <w:r w:rsidRPr="007345BD">
        <w:rPr>
          <w:rFonts w:ascii="Calibri" w:hAnsi="Calibri" w:cs="Calibri"/>
          <w:b/>
          <w:bCs/>
          <w:i/>
          <w:iCs/>
        </w:rPr>
        <w:t>:</w:t>
      </w:r>
      <w:r w:rsidRPr="007345BD">
        <w:rPr>
          <w:rFonts w:ascii="Calibri" w:hAnsi="Calibri" w:cs="Calibri"/>
          <w:i/>
          <w:iCs/>
        </w:rPr>
        <w:t xml:space="preserve"> </w:t>
      </w:r>
      <w:r w:rsidR="00837928" w:rsidRPr="00837928">
        <w:rPr>
          <w:rFonts w:ascii="Calibri" w:hAnsi="Calibri" w:cs="Calibri"/>
          <w:color w:val="000000"/>
        </w:rPr>
        <w:t>Electricity consumption and economic growth across Australian states and territories</w:t>
      </w:r>
    </w:p>
    <w:p w14:paraId="2130E5B9" w14:textId="2A8669E4" w:rsidR="00FB0CD2" w:rsidRPr="007345BD" w:rsidRDefault="00FB0CD2" w:rsidP="00FB0CD2">
      <w:pPr>
        <w:spacing w:after="120" w:line="276" w:lineRule="auto"/>
        <w:jc w:val="both"/>
        <w:rPr>
          <w:rFonts w:ascii="Calibri" w:hAnsi="Calibri" w:cs="Calibri"/>
        </w:rPr>
      </w:pPr>
      <w:r w:rsidRPr="007345BD">
        <w:rPr>
          <w:rFonts w:ascii="Calibri" w:hAnsi="Calibri" w:cs="Calibri"/>
          <w:b/>
          <w:bCs/>
        </w:rPr>
        <w:t>Author(s):</w:t>
      </w:r>
      <w:r w:rsidR="00837928">
        <w:rPr>
          <w:rFonts w:ascii="Calibri" w:hAnsi="Calibri" w:cs="Calibri"/>
        </w:rPr>
        <w:t xml:space="preserve"> </w:t>
      </w:r>
      <w:r w:rsidR="00837928" w:rsidRPr="00837928">
        <w:rPr>
          <w:rFonts w:ascii="Calibri" w:hAnsi="Calibri" w:cs="Calibri"/>
        </w:rPr>
        <w:t xml:space="preserve">Churchill, </w:t>
      </w:r>
      <w:proofErr w:type="spellStart"/>
      <w:r w:rsidR="00837928" w:rsidRPr="00837928">
        <w:rPr>
          <w:rFonts w:ascii="Calibri" w:hAnsi="Calibri" w:cs="Calibri"/>
        </w:rPr>
        <w:t>Sefa</w:t>
      </w:r>
      <w:proofErr w:type="spellEnd"/>
      <w:r w:rsidR="00837928" w:rsidRPr="00837928">
        <w:rPr>
          <w:rFonts w:ascii="Calibri" w:hAnsi="Calibri" w:cs="Calibri"/>
        </w:rPr>
        <w:t xml:space="preserve"> </w:t>
      </w:r>
      <w:proofErr w:type="spellStart"/>
      <w:r w:rsidR="00837928" w:rsidRPr="00837928">
        <w:rPr>
          <w:rFonts w:ascii="Calibri" w:hAnsi="Calibri" w:cs="Calibri"/>
        </w:rPr>
        <w:t>Awaworyi</w:t>
      </w:r>
      <w:proofErr w:type="spellEnd"/>
      <w:r w:rsidR="00837928">
        <w:rPr>
          <w:rFonts w:ascii="Calibri" w:hAnsi="Calibri" w:cs="Calibri"/>
        </w:rPr>
        <w:t xml:space="preserve">, </w:t>
      </w:r>
      <w:proofErr w:type="spellStart"/>
      <w:r w:rsidR="00837928" w:rsidRPr="00837928">
        <w:rPr>
          <w:rFonts w:ascii="Calibri" w:hAnsi="Calibri" w:cs="Calibri"/>
        </w:rPr>
        <w:t>Ivanovski</w:t>
      </w:r>
      <w:proofErr w:type="spellEnd"/>
      <w:r w:rsidR="00837928" w:rsidRPr="00837928">
        <w:rPr>
          <w:rFonts w:ascii="Calibri" w:hAnsi="Calibri" w:cs="Calibri"/>
        </w:rPr>
        <w:t>, Kris</w:t>
      </w:r>
    </w:p>
    <w:p w14:paraId="6BE9C10C" w14:textId="275CFC79" w:rsidR="00FB0CD2" w:rsidRPr="00F60671" w:rsidRDefault="00FB0CD2" w:rsidP="00F60671">
      <w:pPr>
        <w:shd w:val="clear" w:color="auto" w:fill="FFFFFF"/>
        <w:jc w:val="both"/>
        <w:rPr>
          <w:rFonts w:ascii="Verdana" w:eastAsia="Times New Roman" w:hAnsi="Verdana" w:cs="Times New Roman"/>
          <w:color w:val="000000"/>
          <w:sz w:val="19"/>
          <w:szCs w:val="19"/>
        </w:rPr>
      </w:pPr>
      <w:r w:rsidRPr="007345BD">
        <w:rPr>
          <w:rFonts w:ascii="Calibri" w:hAnsi="Calibri" w:cs="Calibri"/>
          <w:b/>
          <w:bCs/>
        </w:rPr>
        <w:t>Keywords:</w:t>
      </w:r>
      <w:r w:rsidRPr="007345BD">
        <w:rPr>
          <w:rFonts w:ascii="Calibri" w:hAnsi="Calibri" w:cs="Calibri"/>
        </w:rPr>
        <w:t xml:space="preserve"> </w:t>
      </w:r>
      <w:r w:rsidR="00F60671" w:rsidRPr="00F60671">
        <w:rPr>
          <w:rFonts w:ascii="Calibri" w:hAnsi="Calibri" w:cs="Calibri"/>
          <w:color w:val="000000"/>
        </w:rPr>
        <w:t xml:space="preserve">Business &amp; </w:t>
      </w:r>
      <w:r w:rsidR="009B05D1" w:rsidRPr="00F60671">
        <w:rPr>
          <w:rFonts w:ascii="Calibri" w:hAnsi="Calibri" w:cs="Calibri"/>
          <w:color w:val="000000"/>
        </w:rPr>
        <w:t>Economics</w:t>
      </w:r>
      <w:r w:rsidR="009B05D1">
        <w:rPr>
          <w:rFonts w:ascii="Calibri" w:hAnsi="Calibri" w:cs="Calibri"/>
          <w:color w:val="000000"/>
        </w:rPr>
        <w:t xml:space="preserve">, Capital, </w:t>
      </w:r>
      <w:r w:rsidR="00F60671" w:rsidRPr="00F60671">
        <w:rPr>
          <w:rFonts w:ascii="Calibri" w:hAnsi="Calibri" w:cs="Calibri"/>
          <w:color w:val="000000"/>
        </w:rPr>
        <w:t>Causality</w:t>
      </w:r>
      <w:r w:rsidR="009B05D1">
        <w:rPr>
          <w:rFonts w:ascii="Calibri" w:hAnsi="Calibri" w:cs="Calibri"/>
          <w:color w:val="000000"/>
        </w:rPr>
        <w:t xml:space="preserve">, </w:t>
      </w:r>
      <w:r w:rsidR="00F60671" w:rsidRPr="00F60671">
        <w:rPr>
          <w:rFonts w:ascii="Calibri" w:hAnsi="Calibri" w:cs="Calibri"/>
          <w:color w:val="000000"/>
        </w:rPr>
        <w:t>Colonies &amp; territories</w:t>
      </w:r>
      <w:r w:rsidR="009B05D1">
        <w:rPr>
          <w:rFonts w:ascii="Calibri" w:hAnsi="Calibri" w:cs="Calibri"/>
          <w:color w:val="000000"/>
        </w:rPr>
        <w:t xml:space="preserve">, </w:t>
      </w:r>
      <w:r w:rsidR="00F60671" w:rsidRPr="00F60671">
        <w:rPr>
          <w:rFonts w:ascii="Calibri" w:hAnsi="Calibri" w:cs="Calibri"/>
          <w:color w:val="000000"/>
        </w:rPr>
        <w:t>Consumption</w:t>
      </w:r>
      <w:r w:rsidR="009B05D1">
        <w:rPr>
          <w:rFonts w:ascii="Calibri" w:hAnsi="Calibri" w:cs="Calibri"/>
          <w:color w:val="000000"/>
        </w:rPr>
        <w:t xml:space="preserve">, </w:t>
      </w:r>
      <w:r w:rsidR="00F60671" w:rsidRPr="00F60671">
        <w:rPr>
          <w:rFonts w:ascii="Calibri" w:hAnsi="Calibri" w:cs="Calibri"/>
          <w:color w:val="000000"/>
        </w:rPr>
        <w:t>Economic growth</w:t>
      </w:r>
      <w:r w:rsidR="009B05D1">
        <w:rPr>
          <w:rFonts w:ascii="Calibri" w:hAnsi="Calibri" w:cs="Calibri"/>
          <w:color w:val="000000"/>
        </w:rPr>
        <w:t xml:space="preserve">, </w:t>
      </w:r>
      <w:r w:rsidR="00F60671" w:rsidRPr="00F60671">
        <w:rPr>
          <w:rFonts w:ascii="Calibri" w:hAnsi="Calibri" w:cs="Calibri"/>
          <w:color w:val="000000"/>
        </w:rPr>
        <w:t>Economic models</w:t>
      </w:r>
      <w:r w:rsidR="009B05D1">
        <w:rPr>
          <w:rFonts w:ascii="Calibri" w:hAnsi="Calibri" w:cs="Calibri"/>
          <w:color w:val="000000"/>
        </w:rPr>
        <w:t xml:space="preserve">, </w:t>
      </w:r>
      <w:r w:rsidR="00F60671" w:rsidRPr="00F60671">
        <w:rPr>
          <w:rFonts w:ascii="Calibri" w:hAnsi="Calibri" w:cs="Calibri"/>
          <w:color w:val="000000"/>
        </w:rPr>
        <w:t>economic output</w:t>
      </w:r>
      <w:r w:rsidR="009B05D1">
        <w:rPr>
          <w:rFonts w:ascii="Calibri" w:hAnsi="Calibri" w:cs="Calibri"/>
          <w:color w:val="000000"/>
        </w:rPr>
        <w:t xml:space="preserve">, </w:t>
      </w:r>
      <w:r w:rsidR="00F60671" w:rsidRPr="00F60671">
        <w:rPr>
          <w:rFonts w:ascii="Calibri" w:hAnsi="Calibri" w:cs="Calibri"/>
          <w:color w:val="000000"/>
        </w:rPr>
        <w:t>Economics</w:t>
      </w:r>
      <w:r w:rsidR="009B05D1">
        <w:rPr>
          <w:rFonts w:ascii="Calibri" w:hAnsi="Calibri" w:cs="Calibri"/>
          <w:color w:val="000000"/>
        </w:rPr>
        <w:t xml:space="preserve">, </w:t>
      </w:r>
      <w:r w:rsidR="00F60671" w:rsidRPr="00F60671">
        <w:rPr>
          <w:rFonts w:ascii="Calibri" w:hAnsi="Calibri" w:cs="Calibri"/>
          <w:color w:val="000000"/>
        </w:rPr>
        <w:t>Electricity</w:t>
      </w:r>
      <w:r w:rsidR="009B05D1">
        <w:rPr>
          <w:rFonts w:ascii="Calibri" w:hAnsi="Calibri" w:cs="Calibri"/>
          <w:color w:val="000000"/>
        </w:rPr>
        <w:t xml:space="preserve">, </w:t>
      </w:r>
      <w:r w:rsidR="00F60671" w:rsidRPr="00F60671">
        <w:rPr>
          <w:rFonts w:ascii="Calibri" w:hAnsi="Calibri" w:cs="Calibri"/>
          <w:color w:val="000000"/>
        </w:rPr>
        <w:t>electricity consumption</w:t>
      </w:r>
      <w:r w:rsidR="009B05D1">
        <w:rPr>
          <w:rFonts w:ascii="Calibri" w:hAnsi="Calibri" w:cs="Calibri"/>
          <w:color w:val="000000"/>
        </w:rPr>
        <w:t xml:space="preserve">, </w:t>
      </w:r>
      <w:r w:rsidR="00F60671" w:rsidRPr="00F60671">
        <w:rPr>
          <w:rFonts w:ascii="Calibri" w:hAnsi="Calibri" w:cs="Calibri"/>
          <w:color w:val="000000"/>
        </w:rPr>
        <w:t>Energy consumption</w:t>
      </w:r>
      <w:r w:rsidR="009B05D1">
        <w:rPr>
          <w:rFonts w:ascii="Calibri" w:hAnsi="Calibri" w:cs="Calibri"/>
          <w:color w:val="000000"/>
        </w:rPr>
        <w:t xml:space="preserve">, </w:t>
      </w:r>
      <w:r w:rsidR="00F60671" w:rsidRPr="00F60671">
        <w:rPr>
          <w:rFonts w:ascii="Calibri" w:hAnsi="Calibri" w:cs="Calibri"/>
          <w:color w:val="000000"/>
        </w:rPr>
        <w:t>Social Sciences</w:t>
      </w:r>
    </w:p>
    <w:p w14:paraId="019FD735" w14:textId="0DD1FE94" w:rsidR="00FB0CD2" w:rsidRPr="009E1660" w:rsidRDefault="00FB0CD2" w:rsidP="00FB0CD2">
      <w:pPr>
        <w:spacing w:line="276" w:lineRule="auto"/>
        <w:jc w:val="both"/>
        <w:rPr>
          <w:rFonts w:ascii="Calibri" w:hAnsi="Calibri" w:cs="Calibri"/>
          <w:b/>
          <w:bCs/>
          <w:sz w:val="28"/>
          <w:szCs w:val="28"/>
        </w:rPr>
      </w:pPr>
      <w:r w:rsidRPr="007345BD">
        <w:rPr>
          <w:rFonts w:ascii="Calibri" w:hAnsi="Calibri" w:cs="Calibri"/>
          <w:b/>
          <w:bCs/>
        </w:rPr>
        <w:t xml:space="preserve">Accessed: </w:t>
      </w:r>
      <w:r w:rsidRPr="007345BD">
        <w:rPr>
          <w:rFonts w:ascii="Calibri" w:hAnsi="Calibri" w:cs="Calibri"/>
        </w:rPr>
        <w:t>20</w:t>
      </w:r>
      <w:r w:rsidR="0068027E">
        <w:rPr>
          <w:rFonts w:ascii="Calibri" w:hAnsi="Calibri" w:cs="Calibri"/>
        </w:rPr>
        <w:t>20</w:t>
      </w:r>
    </w:p>
    <w:tbl>
      <w:tblPr>
        <w:tblStyle w:val="GridTable4-Accent4"/>
        <w:tblW w:w="5000" w:type="pct"/>
        <w:jc w:val="center"/>
        <w:tblLook w:val="04A0" w:firstRow="1" w:lastRow="0" w:firstColumn="1" w:lastColumn="0" w:noHBand="0" w:noVBand="1"/>
      </w:tblPr>
      <w:tblGrid>
        <w:gridCol w:w="9016"/>
      </w:tblGrid>
      <w:tr w:rsidR="00FB0CD2" w:rsidRPr="009E1660" w14:paraId="34E4A778" w14:textId="77777777" w:rsidTr="007F24EA">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5000" w:type="pct"/>
          </w:tcPr>
          <w:p w14:paraId="6C0FCAD1" w14:textId="77777777" w:rsidR="00FB0CD2" w:rsidRPr="009E1660" w:rsidRDefault="00FB0CD2" w:rsidP="007F24EA">
            <w:pPr>
              <w:jc w:val="center"/>
              <w:rPr>
                <w:rFonts w:ascii="Calibri" w:hAnsi="Calibri" w:cs="Calibri"/>
                <w:sz w:val="28"/>
                <w:szCs w:val="28"/>
              </w:rPr>
            </w:pPr>
            <w:r w:rsidRPr="009E1660">
              <w:rPr>
                <w:rFonts w:ascii="Calibri" w:hAnsi="Calibri" w:cs="Calibri"/>
                <w:sz w:val="28"/>
                <w:szCs w:val="28"/>
              </w:rPr>
              <w:t>Key Findings</w:t>
            </w:r>
          </w:p>
        </w:tc>
      </w:tr>
      <w:tr w:rsidR="00FB0CD2" w:rsidRPr="007345BD" w14:paraId="75401C58" w14:textId="77777777" w:rsidTr="007F24EA">
        <w:trPr>
          <w:cnfStyle w:val="000000100000" w:firstRow="0" w:lastRow="0" w:firstColumn="0" w:lastColumn="0" w:oddVBand="0" w:evenVBand="0" w:oddHBand="1" w:evenHBand="0" w:firstRowFirstColumn="0" w:firstRowLastColumn="0" w:lastRowFirstColumn="0" w:lastRowLastColumn="0"/>
          <w:trHeight w:val="2020"/>
          <w:jc w:val="center"/>
        </w:trPr>
        <w:tc>
          <w:tcPr>
            <w:cnfStyle w:val="001000000000" w:firstRow="0" w:lastRow="0" w:firstColumn="1" w:lastColumn="0" w:oddVBand="0" w:evenVBand="0" w:oddHBand="0" w:evenHBand="0" w:firstRowFirstColumn="0" w:firstRowLastColumn="0" w:lastRowFirstColumn="0" w:lastRowLastColumn="0"/>
            <w:tcW w:w="5000" w:type="pct"/>
          </w:tcPr>
          <w:p w14:paraId="42F9690E" w14:textId="04760B7D" w:rsidR="00FB0CD2" w:rsidRPr="007345BD" w:rsidRDefault="0068027E" w:rsidP="007F24EA">
            <w:pPr>
              <w:spacing w:line="276" w:lineRule="auto"/>
              <w:jc w:val="both"/>
              <w:rPr>
                <w:rFonts w:ascii="Calibri" w:hAnsi="Calibri" w:cs="Calibri"/>
                <w:b w:val="0"/>
                <w:bCs w:val="0"/>
              </w:rPr>
            </w:pPr>
            <w:r w:rsidRPr="0068027E">
              <w:rPr>
                <w:rFonts w:ascii="Calibri" w:hAnsi="Calibri" w:cs="Calibri"/>
                <w:b w:val="0"/>
                <w:bCs w:val="0"/>
              </w:rPr>
              <w:t>The article investigates the relationship between electricity consumption and economic growth across Australian states and territories from 1980 to 2017. The study utilizes a panel cointegration approach and finds a positive long-run relationship between electricity consumption and economic growth. The study also finds that the relationship is stronger in the short run than in the long run. Furthermore, the study indicates that the relationship varies across different states and territories.</w:t>
            </w:r>
          </w:p>
        </w:tc>
      </w:tr>
    </w:tbl>
    <w:p w14:paraId="378C4924" w14:textId="77777777" w:rsidR="00FB0CD2" w:rsidRPr="009E1660" w:rsidRDefault="00FB0CD2" w:rsidP="00FB0CD2">
      <w:pPr>
        <w:jc w:val="both"/>
        <w:rPr>
          <w:rFonts w:ascii="Calibri" w:hAnsi="Calibri" w:cs="Calibri"/>
          <w:sz w:val="28"/>
          <w:szCs w:val="28"/>
        </w:rPr>
      </w:pPr>
    </w:p>
    <w:tbl>
      <w:tblPr>
        <w:tblStyle w:val="GridTable4-Accent4"/>
        <w:tblW w:w="5000" w:type="pct"/>
        <w:jc w:val="center"/>
        <w:tblLook w:val="04A0" w:firstRow="1" w:lastRow="0" w:firstColumn="1" w:lastColumn="0" w:noHBand="0" w:noVBand="1"/>
      </w:tblPr>
      <w:tblGrid>
        <w:gridCol w:w="9016"/>
      </w:tblGrid>
      <w:tr w:rsidR="00FB0CD2" w:rsidRPr="009E1660" w14:paraId="4A0F3710" w14:textId="77777777" w:rsidTr="007F24EA">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5000" w:type="pct"/>
          </w:tcPr>
          <w:p w14:paraId="1BDEB695" w14:textId="77777777" w:rsidR="00FB0CD2" w:rsidRPr="009E1660" w:rsidRDefault="00FB0CD2" w:rsidP="007F24EA">
            <w:pPr>
              <w:jc w:val="center"/>
              <w:rPr>
                <w:rFonts w:ascii="Calibri" w:hAnsi="Calibri" w:cs="Calibri"/>
                <w:sz w:val="28"/>
                <w:szCs w:val="28"/>
              </w:rPr>
            </w:pPr>
            <w:r w:rsidRPr="009E1660">
              <w:rPr>
                <w:rFonts w:ascii="Calibri" w:hAnsi="Calibri" w:cs="Calibri"/>
                <w:sz w:val="28"/>
                <w:szCs w:val="28"/>
              </w:rPr>
              <w:t>Quotes</w:t>
            </w:r>
          </w:p>
        </w:tc>
      </w:tr>
      <w:tr w:rsidR="00FB0CD2" w:rsidRPr="007345BD" w14:paraId="1E37E31A" w14:textId="77777777" w:rsidTr="007F24EA">
        <w:trPr>
          <w:cnfStyle w:val="000000100000" w:firstRow="0" w:lastRow="0" w:firstColumn="0" w:lastColumn="0" w:oddVBand="0" w:evenVBand="0" w:oddHBand="1" w:evenHBand="0" w:firstRowFirstColumn="0" w:firstRowLastColumn="0" w:lastRowFirstColumn="0" w:lastRowLastColumn="0"/>
          <w:trHeight w:val="2285"/>
          <w:jc w:val="center"/>
        </w:trPr>
        <w:tc>
          <w:tcPr>
            <w:cnfStyle w:val="001000000000" w:firstRow="0" w:lastRow="0" w:firstColumn="1" w:lastColumn="0" w:oddVBand="0" w:evenVBand="0" w:oddHBand="0" w:evenHBand="0" w:firstRowFirstColumn="0" w:firstRowLastColumn="0" w:lastRowFirstColumn="0" w:lastRowLastColumn="0"/>
            <w:tcW w:w="5000" w:type="pct"/>
          </w:tcPr>
          <w:p w14:paraId="3FB0752A" w14:textId="55F36059" w:rsidR="00FB0CD2" w:rsidRDefault="0068027E" w:rsidP="007F24EA">
            <w:pPr>
              <w:spacing w:line="276" w:lineRule="auto"/>
              <w:jc w:val="both"/>
              <w:rPr>
                <w:rFonts w:ascii="Calibri" w:hAnsi="Calibri" w:cs="Calibri"/>
              </w:rPr>
            </w:pPr>
            <w:r w:rsidRPr="0068027E">
              <w:rPr>
                <w:rFonts w:ascii="Calibri" w:hAnsi="Calibri" w:cs="Calibri"/>
                <w:b w:val="0"/>
                <w:bCs w:val="0"/>
              </w:rPr>
              <w:t>Churchill. (2020). Electricity consumption and economic growth across Australian states and territories. In </w:t>
            </w:r>
            <w:r w:rsidRPr="0068027E">
              <w:rPr>
                <w:rFonts w:ascii="Calibri" w:hAnsi="Calibri" w:cs="Calibri"/>
                <w:b w:val="0"/>
                <w:bCs w:val="0"/>
                <w:i/>
                <w:iCs/>
              </w:rPr>
              <w:t>Applied economics.</w:t>
            </w:r>
            <w:r w:rsidRPr="0068027E">
              <w:rPr>
                <w:rFonts w:ascii="Calibri" w:hAnsi="Calibri" w:cs="Calibri"/>
                <w:b w:val="0"/>
                <w:bCs w:val="0"/>
              </w:rPr>
              <w:t xml:space="preserve"> (Vol. 52, Issue 8, pp. 866–878). </w:t>
            </w:r>
            <w:proofErr w:type="gramStart"/>
            <w:r w:rsidRPr="0068027E">
              <w:rPr>
                <w:rFonts w:ascii="Calibri" w:hAnsi="Calibri" w:cs="Calibri"/>
                <w:b w:val="0"/>
                <w:bCs w:val="0"/>
              </w:rPr>
              <w:t>Routledge,.</w:t>
            </w:r>
            <w:proofErr w:type="gramEnd"/>
            <w:r w:rsidRPr="0068027E">
              <w:rPr>
                <w:rFonts w:ascii="Calibri" w:hAnsi="Calibri" w:cs="Calibri"/>
                <w:b w:val="0"/>
                <w:bCs w:val="0"/>
              </w:rPr>
              <w:t xml:space="preserve"> </w:t>
            </w:r>
            <w:hyperlink r:id="rId5" w:history="1">
              <w:r w:rsidR="005C2FDA" w:rsidRPr="003515BB">
                <w:rPr>
                  <w:rStyle w:val="Hyperlink"/>
                  <w:rFonts w:ascii="Calibri" w:hAnsi="Calibri" w:cs="Calibri"/>
                </w:rPr>
                <w:t>https://doi.org/10.1080/00036846.2019.1659932</w:t>
              </w:r>
            </w:hyperlink>
          </w:p>
          <w:p w14:paraId="44C03ED9" w14:textId="1A50CA1B" w:rsidR="005C2FDA" w:rsidRPr="007345BD" w:rsidRDefault="005C2FDA" w:rsidP="007F24EA">
            <w:pPr>
              <w:spacing w:line="276" w:lineRule="auto"/>
              <w:jc w:val="both"/>
              <w:rPr>
                <w:rFonts w:ascii="Calibri" w:hAnsi="Calibri" w:cs="Calibri"/>
                <w:b w:val="0"/>
                <w:bCs w:val="0"/>
              </w:rPr>
            </w:pPr>
            <w:r w:rsidRPr="005C2FDA">
              <w:rPr>
                <w:rFonts w:ascii="Calibri" w:hAnsi="Calibri" w:cs="Calibri"/>
                <w:b w:val="0"/>
                <w:bCs w:val="0"/>
              </w:rPr>
              <w:t>(</w:t>
            </w:r>
            <w:r w:rsidRPr="005C2FDA">
              <w:rPr>
                <w:rFonts w:ascii="Calibri" w:hAnsi="Calibri" w:cs="Calibri"/>
                <w:b w:val="0"/>
                <w:bCs w:val="0"/>
              </w:rPr>
              <w:t>Churchill, 2020)</w:t>
            </w:r>
          </w:p>
        </w:tc>
      </w:tr>
    </w:tbl>
    <w:p w14:paraId="61100EDF" w14:textId="77777777" w:rsidR="00FB0CD2" w:rsidRPr="009E1660" w:rsidRDefault="00FB0CD2" w:rsidP="00FB0CD2">
      <w:pPr>
        <w:jc w:val="both"/>
        <w:rPr>
          <w:rFonts w:ascii="Calibri" w:hAnsi="Calibri" w:cs="Calibri"/>
          <w:sz w:val="32"/>
          <w:szCs w:val="32"/>
        </w:rPr>
      </w:pPr>
    </w:p>
    <w:tbl>
      <w:tblPr>
        <w:tblStyle w:val="GridTable4-Accent4"/>
        <w:tblpPr w:leftFromText="180" w:rightFromText="180" w:vertAnchor="text" w:horzAnchor="margin" w:tblpXSpec="center" w:tblpY="5"/>
        <w:tblW w:w="5000" w:type="pct"/>
        <w:tblLook w:val="04A0" w:firstRow="1" w:lastRow="0" w:firstColumn="1" w:lastColumn="0" w:noHBand="0" w:noVBand="1"/>
      </w:tblPr>
      <w:tblGrid>
        <w:gridCol w:w="4465"/>
        <w:gridCol w:w="4551"/>
      </w:tblGrid>
      <w:tr w:rsidR="00FB0CD2" w:rsidRPr="007345BD" w14:paraId="4945885F" w14:textId="77777777" w:rsidTr="007F24E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76" w:type="pct"/>
          </w:tcPr>
          <w:p w14:paraId="40176438" w14:textId="77777777" w:rsidR="00FB0CD2" w:rsidRPr="007345BD" w:rsidRDefault="00FB0CD2" w:rsidP="007F24EA">
            <w:pPr>
              <w:jc w:val="center"/>
              <w:rPr>
                <w:rFonts w:ascii="Calibri" w:hAnsi="Calibri" w:cs="Calibri"/>
              </w:rPr>
            </w:pPr>
            <w:r w:rsidRPr="007345BD">
              <w:rPr>
                <w:rFonts w:ascii="Calibri" w:hAnsi="Calibri" w:cs="Calibri"/>
              </w:rPr>
              <w:t>Strengths</w:t>
            </w:r>
          </w:p>
        </w:tc>
        <w:tc>
          <w:tcPr>
            <w:tcW w:w="2524" w:type="pct"/>
          </w:tcPr>
          <w:p w14:paraId="5C6C7EB3" w14:textId="77777777" w:rsidR="00FB0CD2" w:rsidRPr="007345BD" w:rsidRDefault="00FB0CD2" w:rsidP="007F24E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7345BD">
              <w:rPr>
                <w:rFonts w:ascii="Calibri" w:hAnsi="Calibri" w:cs="Calibri"/>
              </w:rPr>
              <w:t>Limitations</w:t>
            </w:r>
          </w:p>
        </w:tc>
      </w:tr>
      <w:tr w:rsidR="00FB0CD2" w:rsidRPr="007345BD" w14:paraId="6EAAD86A" w14:textId="77777777" w:rsidTr="007F24EA">
        <w:trPr>
          <w:cnfStyle w:val="000000100000" w:firstRow="0" w:lastRow="0" w:firstColumn="0" w:lastColumn="0" w:oddVBand="0" w:evenVBand="0" w:oddHBand="1" w:evenHBand="0" w:firstRowFirstColumn="0" w:firstRowLastColumn="0" w:lastRowFirstColumn="0" w:lastRowLastColumn="0"/>
          <w:trHeight w:val="3211"/>
        </w:trPr>
        <w:tc>
          <w:tcPr>
            <w:cnfStyle w:val="001000000000" w:firstRow="0" w:lastRow="0" w:firstColumn="1" w:lastColumn="0" w:oddVBand="0" w:evenVBand="0" w:oddHBand="0" w:evenHBand="0" w:firstRowFirstColumn="0" w:firstRowLastColumn="0" w:lastRowFirstColumn="0" w:lastRowLastColumn="0"/>
            <w:tcW w:w="2476" w:type="pct"/>
          </w:tcPr>
          <w:p w14:paraId="04623138" w14:textId="77777777" w:rsidR="0068027E" w:rsidRPr="0068027E" w:rsidRDefault="0068027E" w:rsidP="0068027E">
            <w:pPr>
              <w:numPr>
                <w:ilvl w:val="0"/>
                <w:numId w:val="2"/>
              </w:numPr>
              <w:spacing w:line="276" w:lineRule="auto"/>
              <w:jc w:val="both"/>
              <w:rPr>
                <w:rFonts w:ascii="Calibri" w:hAnsi="Calibri" w:cs="Calibri"/>
              </w:rPr>
            </w:pPr>
            <w:r w:rsidRPr="0068027E">
              <w:rPr>
                <w:rFonts w:ascii="Calibri" w:hAnsi="Calibri" w:cs="Calibri"/>
              </w:rPr>
              <w:t>The study provides insights into the relationship between electricity consumption and economic growth across Australian states and territories, which can inform policymaking.</w:t>
            </w:r>
          </w:p>
          <w:p w14:paraId="4606DD07" w14:textId="77777777" w:rsidR="0068027E" w:rsidRPr="0068027E" w:rsidRDefault="0068027E" w:rsidP="0068027E">
            <w:pPr>
              <w:numPr>
                <w:ilvl w:val="0"/>
                <w:numId w:val="2"/>
              </w:numPr>
              <w:spacing w:line="276" w:lineRule="auto"/>
              <w:jc w:val="both"/>
              <w:rPr>
                <w:rFonts w:ascii="Calibri" w:hAnsi="Calibri" w:cs="Calibri"/>
                <w:b w:val="0"/>
                <w:bCs w:val="0"/>
              </w:rPr>
            </w:pPr>
            <w:r w:rsidRPr="0068027E">
              <w:rPr>
                <w:rFonts w:ascii="Calibri" w:hAnsi="Calibri" w:cs="Calibri"/>
                <w:b w:val="0"/>
                <w:bCs w:val="0"/>
              </w:rPr>
              <w:t xml:space="preserve">The use of a panel cointegration approach provides a robust statistical framework for </w:t>
            </w:r>
            <w:proofErr w:type="spellStart"/>
            <w:r w:rsidRPr="0068027E">
              <w:rPr>
                <w:rFonts w:ascii="Calibri" w:hAnsi="Calibri" w:cs="Calibri"/>
                <w:b w:val="0"/>
                <w:bCs w:val="0"/>
              </w:rPr>
              <w:t>analyzing</w:t>
            </w:r>
            <w:proofErr w:type="spellEnd"/>
            <w:r w:rsidRPr="0068027E">
              <w:rPr>
                <w:rFonts w:ascii="Calibri" w:hAnsi="Calibri" w:cs="Calibri"/>
                <w:b w:val="0"/>
                <w:bCs w:val="0"/>
              </w:rPr>
              <w:t xml:space="preserve"> the relationship between electricity consumption and economic growth.</w:t>
            </w:r>
          </w:p>
          <w:p w14:paraId="4DCDD421" w14:textId="77777777" w:rsidR="00FB0CD2" w:rsidRPr="007345BD" w:rsidRDefault="00FB0CD2" w:rsidP="007F24EA">
            <w:pPr>
              <w:spacing w:line="276" w:lineRule="auto"/>
              <w:jc w:val="both"/>
              <w:rPr>
                <w:rFonts w:ascii="Calibri" w:hAnsi="Calibri" w:cs="Calibri"/>
              </w:rPr>
            </w:pPr>
          </w:p>
        </w:tc>
        <w:tc>
          <w:tcPr>
            <w:tcW w:w="2524" w:type="pct"/>
          </w:tcPr>
          <w:p w14:paraId="692A1526" w14:textId="77777777" w:rsidR="005C2FDA" w:rsidRPr="005C2FDA" w:rsidRDefault="005C2FDA" w:rsidP="005C2FDA">
            <w:pPr>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FDA">
              <w:rPr>
                <w:rFonts w:ascii="Calibri" w:hAnsi="Calibri" w:cs="Calibri"/>
              </w:rPr>
              <w:t>The study only examines the relationship between electricity consumption and economic growth, without considering other factors that may influence economic growth.</w:t>
            </w:r>
          </w:p>
          <w:p w14:paraId="0E7A3CD5" w14:textId="77777777" w:rsidR="005C2FDA" w:rsidRPr="005C2FDA" w:rsidRDefault="005C2FDA" w:rsidP="005C2FDA">
            <w:pPr>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FDA">
              <w:rPr>
                <w:rFonts w:ascii="Calibri" w:hAnsi="Calibri" w:cs="Calibri"/>
              </w:rPr>
              <w:t>The study relies on data up to 2017, and more recent data may provide additional insights into the relationship between electricity consumption and economic growth.</w:t>
            </w:r>
          </w:p>
          <w:p w14:paraId="52890C54" w14:textId="77777777" w:rsidR="00FB0CD2" w:rsidRPr="007345BD" w:rsidRDefault="00FB0CD2" w:rsidP="007F24EA">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bl>
    <w:p w14:paraId="640C3F2B" w14:textId="77777777" w:rsidR="00554396" w:rsidRDefault="00554396" w:rsidP="00554396">
      <w:pPr>
        <w:pStyle w:val="Title"/>
        <w:spacing w:line="276" w:lineRule="auto"/>
        <w:jc w:val="center"/>
        <w:rPr>
          <w:rFonts w:ascii="Calibri" w:hAnsi="Calibri" w:cs="Calibri"/>
          <w:b/>
          <w:bCs/>
          <w:sz w:val="40"/>
          <w:szCs w:val="40"/>
        </w:rPr>
      </w:pPr>
    </w:p>
    <w:p w14:paraId="6C5F7D1E" w14:textId="77777777" w:rsidR="00554396" w:rsidRDefault="00554396" w:rsidP="00554396">
      <w:pPr>
        <w:pStyle w:val="Title"/>
        <w:spacing w:line="276" w:lineRule="auto"/>
        <w:jc w:val="center"/>
        <w:rPr>
          <w:rFonts w:ascii="Calibri" w:hAnsi="Calibri" w:cs="Calibri"/>
          <w:b/>
          <w:bCs/>
          <w:sz w:val="40"/>
          <w:szCs w:val="40"/>
        </w:rPr>
      </w:pPr>
    </w:p>
    <w:sectPr w:rsidR="0055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48BF"/>
    <w:multiLevelType w:val="multilevel"/>
    <w:tmpl w:val="FA764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5423277"/>
    <w:multiLevelType w:val="multilevel"/>
    <w:tmpl w:val="6DE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C258B"/>
    <w:multiLevelType w:val="multilevel"/>
    <w:tmpl w:val="22CA0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DB9567F"/>
    <w:multiLevelType w:val="multilevel"/>
    <w:tmpl w:val="228CC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47A25ED6"/>
    <w:multiLevelType w:val="multilevel"/>
    <w:tmpl w:val="0878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74562"/>
    <w:multiLevelType w:val="multilevel"/>
    <w:tmpl w:val="15E6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50207E"/>
    <w:multiLevelType w:val="multilevel"/>
    <w:tmpl w:val="4E5E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0607967">
    <w:abstractNumId w:val="4"/>
  </w:num>
  <w:num w:numId="2" w16cid:durableId="1325084380">
    <w:abstractNumId w:val="2"/>
  </w:num>
  <w:num w:numId="3" w16cid:durableId="53477878">
    <w:abstractNumId w:val="0"/>
  </w:num>
  <w:num w:numId="4" w16cid:durableId="938489565">
    <w:abstractNumId w:val="5"/>
  </w:num>
  <w:num w:numId="5" w16cid:durableId="1975987629">
    <w:abstractNumId w:val="6"/>
  </w:num>
  <w:num w:numId="6" w16cid:durableId="2022969645">
    <w:abstractNumId w:val="3"/>
  </w:num>
  <w:num w:numId="7" w16cid:durableId="1482503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CD"/>
    <w:rsid w:val="00002A01"/>
    <w:rsid w:val="002507AC"/>
    <w:rsid w:val="00312393"/>
    <w:rsid w:val="00365EBA"/>
    <w:rsid w:val="00482877"/>
    <w:rsid w:val="00554396"/>
    <w:rsid w:val="005814CD"/>
    <w:rsid w:val="005C2FDA"/>
    <w:rsid w:val="0068027E"/>
    <w:rsid w:val="006B3E5B"/>
    <w:rsid w:val="006B6E64"/>
    <w:rsid w:val="007345BD"/>
    <w:rsid w:val="007D3100"/>
    <w:rsid w:val="00824196"/>
    <w:rsid w:val="00837928"/>
    <w:rsid w:val="00843DD2"/>
    <w:rsid w:val="00846D12"/>
    <w:rsid w:val="009B05D1"/>
    <w:rsid w:val="009D1259"/>
    <w:rsid w:val="009E1660"/>
    <w:rsid w:val="00A81724"/>
    <w:rsid w:val="00AD4281"/>
    <w:rsid w:val="00BB312E"/>
    <w:rsid w:val="00C656CF"/>
    <w:rsid w:val="00CB3B67"/>
    <w:rsid w:val="00DA24D9"/>
    <w:rsid w:val="00E2123E"/>
    <w:rsid w:val="00E55CE7"/>
    <w:rsid w:val="00F02203"/>
    <w:rsid w:val="00F60671"/>
    <w:rsid w:val="00FB0CD2"/>
    <w:rsid w:val="00FF13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DF2861"/>
  <w15:chartTrackingRefBased/>
  <w15:docId w15:val="{A696B26F-45A4-5449-BF56-11364983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543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4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A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A24D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5C2FDA"/>
    <w:rPr>
      <w:color w:val="0563C1" w:themeColor="hyperlink"/>
      <w:u w:val="single"/>
    </w:rPr>
  </w:style>
  <w:style w:type="character" w:styleId="UnresolvedMention">
    <w:name w:val="Unresolved Mention"/>
    <w:basedOn w:val="DefaultParagraphFont"/>
    <w:uiPriority w:val="99"/>
    <w:semiHidden/>
    <w:unhideWhenUsed/>
    <w:rsid w:val="005C2FDA"/>
    <w:rPr>
      <w:color w:val="605E5C"/>
      <w:shd w:val="clear" w:color="auto" w:fill="E1DFDD"/>
    </w:rPr>
  </w:style>
  <w:style w:type="character" w:customStyle="1" w:styleId="Heading3Char">
    <w:name w:val="Heading 3 Char"/>
    <w:basedOn w:val="DefaultParagraphFont"/>
    <w:link w:val="Heading3"/>
    <w:uiPriority w:val="9"/>
    <w:semiHidden/>
    <w:rsid w:val="0055439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67061">
      <w:bodyDiv w:val="1"/>
      <w:marLeft w:val="0"/>
      <w:marRight w:val="0"/>
      <w:marTop w:val="0"/>
      <w:marBottom w:val="0"/>
      <w:divBdr>
        <w:top w:val="none" w:sz="0" w:space="0" w:color="auto"/>
        <w:left w:val="none" w:sz="0" w:space="0" w:color="auto"/>
        <w:bottom w:val="none" w:sz="0" w:space="0" w:color="auto"/>
        <w:right w:val="none" w:sz="0" w:space="0" w:color="auto"/>
      </w:divBdr>
    </w:div>
    <w:div w:id="444928947">
      <w:bodyDiv w:val="1"/>
      <w:marLeft w:val="0"/>
      <w:marRight w:val="0"/>
      <w:marTop w:val="0"/>
      <w:marBottom w:val="0"/>
      <w:divBdr>
        <w:top w:val="none" w:sz="0" w:space="0" w:color="auto"/>
        <w:left w:val="none" w:sz="0" w:space="0" w:color="auto"/>
        <w:bottom w:val="none" w:sz="0" w:space="0" w:color="auto"/>
        <w:right w:val="none" w:sz="0" w:space="0" w:color="auto"/>
      </w:divBdr>
    </w:div>
    <w:div w:id="485167909">
      <w:bodyDiv w:val="1"/>
      <w:marLeft w:val="0"/>
      <w:marRight w:val="0"/>
      <w:marTop w:val="0"/>
      <w:marBottom w:val="0"/>
      <w:divBdr>
        <w:top w:val="none" w:sz="0" w:space="0" w:color="auto"/>
        <w:left w:val="none" w:sz="0" w:space="0" w:color="auto"/>
        <w:bottom w:val="none" w:sz="0" w:space="0" w:color="auto"/>
        <w:right w:val="none" w:sz="0" w:space="0" w:color="auto"/>
      </w:divBdr>
    </w:div>
    <w:div w:id="503015029">
      <w:bodyDiv w:val="1"/>
      <w:marLeft w:val="0"/>
      <w:marRight w:val="0"/>
      <w:marTop w:val="0"/>
      <w:marBottom w:val="0"/>
      <w:divBdr>
        <w:top w:val="none" w:sz="0" w:space="0" w:color="auto"/>
        <w:left w:val="none" w:sz="0" w:space="0" w:color="auto"/>
        <w:bottom w:val="none" w:sz="0" w:space="0" w:color="auto"/>
        <w:right w:val="none" w:sz="0" w:space="0" w:color="auto"/>
      </w:divBdr>
    </w:div>
    <w:div w:id="635449340">
      <w:bodyDiv w:val="1"/>
      <w:marLeft w:val="0"/>
      <w:marRight w:val="0"/>
      <w:marTop w:val="0"/>
      <w:marBottom w:val="0"/>
      <w:divBdr>
        <w:top w:val="none" w:sz="0" w:space="0" w:color="auto"/>
        <w:left w:val="none" w:sz="0" w:space="0" w:color="auto"/>
        <w:bottom w:val="none" w:sz="0" w:space="0" w:color="auto"/>
        <w:right w:val="none" w:sz="0" w:space="0" w:color="auto"/>
      </w:divBdr>
    </w:div>
    <w:div w:id="650333404">
      <w:bodyDiv w:val="1"/>
      <w:marLeft w:val="0"/>
      <w:marRight w:val="0"/>
      <w:marTop w:val="0"/>
      <w:marBottom w:val="0"/>
      <w:divBdr>
        <w:top w:val="none" w:sz="0" w:space="0" w:color="auto"/>
        <w:left w:val="none" w:sz="0" w:space="0" w:color="auto"/>
        <w:bottom w:val="none" w:sz="0" w:space="0" w:color="auto"/>
        <w:right w:val="none" w:sz="0" w:space="0" w:color="auto"/>
      </w:divBdr>
    </w:div>
    <w:div w:id="680015516">
      <w:bodyDiv w:val="1"/>
      <w:marLeft w:val="0"/>
      <w:marRight w:val="0"/>
      <w:marTop w:val="0"/>
      <w:marBottom w:val="0"/>
      <w:divBdr>
        <w:top w:val="none" w:sz="0" w:space="0" w:color="auto"/>
        <w:left w:val="none" w:sz="0" w:space="0" w:color="auto"/>
        <w:bottom w:val="none" w:sz="0" w:space="0" w:color="auto"/>
        <w:right w:val="none" w:sz="0" w:space="0" w:color="auto"/>
      </w:divBdr>
      <w:divsChild>
        <w:div w:id="561454349">
          <w:marLeft w:val="0"/>
          <w:marRight w:val="0"/>
          <w:marTop w:val="0"/>
          <w:marBottom w:val="0"/>
          <w:divBdr>
            <w:top w:val="none" w:sz="0" w:space="0" w:color="auto"/>
            <w:left w:val="none" w:sz="0" w:space="0" w:color="auto"/>
            <w:bottom w:val="none" w:sz="0" w:space="0" w:color="auto"/>
            <w:right w:val="none" w:sz="0" w:space="0" w:color="auto"/>
          </w:divBdr>
        </w:div>
      </w:divsChild>
    </w:div>
    <w:div w:id="827595040">
      <w:bodyDiv w:val="1"/>
      <w:marLeft w:val="0"/>
      <w:marRight w:val="0"/>
      <w:marTop w:val="0"/>
      <w:marBottom w:val="0"/>
      <w:divBdr>
        <w:top w:val="none" w:sz="0" w:space="0" w:color="auto"/>
        <w:left w:val="none" w:sz="0" w:space="0" w:color="auto"/>
        <w:bottom w:val="none" w:sz="0" w:space="0" w:color="auto"/>
        <w:right w:val="none" w:sz="0" w:space="0" w:color="auto"/>
      </w:divBdr>
    </w:div>
    <w:div w:id="933782669">
      <w:bodyDiv w:val="1"/>
      <w:marLeft w:val="0"/>
      <w:marRight w:val="0"/>
      <w:marTop w:val="0"/>
      <w:marBottom w:val="0"/>
      <w:divBdr>
        <w:top w:val="none" w:sz="0" w:space="0" w:color="auto"/>
        <w:left w:val="none" w:sz="0" w:space="0" w:color="auto"/>
        <w:bottom w:val="none" w:sz="0" w:space="0" w:color="auto"/>
        <w:right w:val="none" w:sz="0" w:space="0" w:color="auto"/>
      </w:divBdr>
    </w:div>
    <w:div w:id="960570010">
      <w:bodyDiv w:val="1"/>
      <w:marLeft w:val="0"/>
      <w:marRight w:val="0"/>
      <w:marTop w:val="0"/>
      <w:marBottom w:val="0"/>
      <w:divBdr>
        <w:top w:val="none" w:sz="0" w:space="0" w:color="auto"/>
        <w:left w:val="none" w:sz="0" w:space="0" w:color="auto"/>
        <w:bottom w:val="none" w:sz="0" w:space="0" w:color="auto"/>
        <w:right w:val="none" w:sz="0" w:space="0" w:color="auto"/>
      </w:divBdr>
    </w:div>
    <w:div w:id="1284993644">
      <w:bodyDiv w:val="1"/>
      <w:marLeft w:val="0"/>
      <w:marRight w:val="0"/>
      <w:marTop w:val="0"/>
      <w:marBottom w:val="0"/>
      <w:divBdr>
        <w:top w:val="none" w:sz="0" w:space="0" w:color="auto"/>
        <w:left w:val="none" w:sz="0" w:space="0" w:color="auto"/>
        <w:bottom w:val="none" w:sz="0" w:space="0" w:color="auto"/>
        <w:right w:val="none" w:sz="0" w:space="0" w:color="auto"/>
      </w:divBdr>
    </w:div>
    <w:div w:id="1357199375">
      <w:bodyDiv w:val="1"/>
      <w:marLeft w:val="0"/>
      <w:marRight w:val="0"/>
      <w:marTop w:val="0"/>
      <w:marBottom w:val="0"/>
      <w:divBdr>
        <w:top w:val="none" w:sz="0" w:space="0" w:color="auto"/>
        <w:left w:val="none" w:sz="0" w:space="0" w:color="auto"/>
        <w:bottom w:val="none" w:sz="0" w:space="0" w:color="auto"/>
        <w:right w:val="none" w:sz="0" w:space="0" w:color="auto"/>
      </w:divBdr>
    </w:div>
    <w:div w:id="1516723240">
      <w:bodyDiv w:val="1"/>
      <w:marLeft w:val="0"/>
      <w:marRight w:val="0"/>
      <w:marTop w:val="0"/>
      <w:marBottom w:val="0"/>
      <w:divBdr>
        <w:top w:val="none" w:sz="0" w:space="0" w:color="auto"/>
        <w:left w:val="none" w:sz="0" w:space="0" w:color="auto"/>
        <w:bottom w:val="none" w:sz="0" w:space="0" w:color="auto"/>
        <w:right w:val="none" w:sz="0" w:space="0" w:color="auto"/>
      </w:divBdr>
      <w:divsChild>
        <w:div w:id="912424837">
          <w:marLeft w:val="0"/>
          <w:marRight w:val="0"/>
          <w:marTop w:val="0"/>
          <w:marBottom w:val="0"/>
          <w:divBdr>
            <w:top w:val="none" w:sz="0" w:space="0" w:color="auto"/>
            <w:left w:val="none" w:sz="0" w:space="0" w:color="auto"/>
            <w:bottom w:val="none" w:sz="0" w:space="0" w:color="auto"/>
            <w:right w:val="none" w:sz="0" w:space="0" w:color="auto"/>
          </w:divBdr>
        </w:div>
      </w:divsChild>
    </w:div>
    <w:div w:id="1643920889">
      <w:bodyDiv w:val="1"/>
      <w:marLeft w:val="0"/>
      <w:marRight w:val="0"/>
      <w:marTop w:val="0"/>
      <w:marBottom w:val="0"/>
      <w:divBdr>
        <w:top w:val="none" w:sz="0" w:space="0" w:color="auto"/>
        <w:left w:val="none" w:sz="0" w:space="0" w:color="auto"/>
        <w:bottom w:val="none" w:sz="0" w:space="0" w:color="auto"/>
        <w:right w:val="none" w:sz="0" w:space="0" w:color="auto"/>
      </w:divBdr>
    </w:div>
    <w:div w:id="1690332571">
      <w:bodyDiv w:val="1"/>
      <w:marLeft w:val="0"/>
      <w:marRight w:val="0"/>
      <w:marTop w:val="0"/>
      <w:marBottom w:val="0"/>
      <w:divBdr>
        <w:top w:val="none" w:sz="0" w:space="0" w:color="auto"/>
        <w:left w:val="none" w:sz="0" w:space="0" w:color="auto"/>
        <w:bottom w:val="none" w:sz="0" w:space="0" w:color="auto"/>
        <w:right w:val="none" w:sz="0" w:space="0" w:color="auto"/>
      </w:divBdr>
    </w:div>
    <w:div w:id="1711957493">
      <w:bodyDiv w:val="1"/>
      <w:marLeft w:val="0"/>
      <w:marRight w:val="0"/>
      <w:marTop w:val="0"/>
      <w:marBottom w:val="0"/>
      <w:divBdr>
        <w:top w:val="none" w:sz="0" w:space="0" w:color="auto"/>
        <w:left w:val="none" w:sz="0" w:space="0" w:color="auto"/>
        <w:bottom w:val="none" w:sz="0" w:space="0" w:color="auto"/>
        <w:right w:val="none" w:sz="0" w:space="0" w:color="auto"/>
      </w:divBdr>
    </w:div>
    <w:div w:id="1731885267">
      <w:bodyDiv w:val="1"/>
      <w:marLeft w:val="0"/>
      <w:marRight w:val="0"/>
      <w:marTop w:val="0"/>
      <w:marBottom w:val="0"/>
      <w:divBdr>
        <w:top w:val="none" w:sz="0" w:space="0" w:color="auto"/>
        <w:left w:val="none" w:sz="0" w:space="0" w:color="auto"/>
        <w:bottom w:val="none" w:sz="0" w:space="0" w:color="auto"/>
        <w:right w:val="none" w:sz="0" w:space="0" w:color="auto"/>
      </w:divBdr>
      <w:divsChild>
        <w:div w:id="165603089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040427591">
      <w:bodyDiv w:val="1"/>
      <w:marLeft w:val="0"/>
      <w:marRight w:val="0"/>
      <w:marTop w:val="0"/>
      <w:marBottom w:val="0"/>
      <w:divBdr>
        <w:top w:val="none" w:sz="0" w:space="0" w:color="auto"/>
        <w:left w:val="none" w:sz="0" w:space="0" w:color="auto"/>
        <w:bottom w:val="none" w:sz="0" w:space="0" w:color="auto"/>
        <w:right w:val="none" w:sz="0" w:space="0" w:color="auto"/>
      </w:divBdr>
    </w:div>
    <w:div w:id="207959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80/00036846.2019.1659932"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z/Library/Group%20Containers/UBF8T346G9.Office/User%20Content.localized/Templates.localized/Article%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 Summary Template.dotx</Template>
  <TotalTime>0</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jx827</cp:lastModifiedBy>
  <cp:revision>2</cp:revision>
  <cp:lastPrinted>2023-04-04T03:16:00Z</cp:lastPrinted>
  <dcterms:created xsi:type="dcterms:W3CDTF">2023-04-04T03:19:00Z</dcterms:created>
  <dcterms:modified xsi:type="dcterms:W3CDTF">2023-04-04T03:19:00Z</dcterms:modified>
</cp:coreProperties>
</file>