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Release Planning Working Session</w:t>
      </w:r>
    </w:p>
    <w:p>
      <w:pPr>
        <w:pStyle w:val="Subtitle"/>
      </w:pPr>
      <w:r>
        <w:t>Decision record and discussion notes - August 21, 2026</w:t>
      </w:r>
    </w:p>
    <w:tbl>
      <w:tblPr>
        <w:tblW w:type="auto" w:w="0"/>
        <w:tblLayout w:type="fixed"/>
        <w:tblLook w:firstColumn="1" w:firstRow="1" w:lastColumn="0" w:lastRow="0" w:noHBand="0" w:noVBand="1" w:val="04A0"/>
      </w:tblPr>
      <w:tblGrid>
        <w:gridCol w:w="4824"/>
        <w:gridCol w:w="4824"/>
      </w:tblGrid>
      <w:tr>
        <w:tc>
          <w:tcPr>
            <w:tcW w:type="dxa" w:w="2160"/>
            <w:shd w:fill="EAF0F5"/>
            <w:vAlign w:val="center"/>
          </w:tcPr>
          <w:p>
            <w:r>
              <w:rPr>
                <w:b/>
              </w:rPr>
              <w:t>PROGRAM</w:t>
            </w:r>
          </w:p>
        </w:tc>
        <w:tc>
          <w:tcPr>
            <w:tcW w:type="dxa" w:w="6912"/>
            <w:vAlign w:val="center"/>
          </w:tcPr>
          <w:p>
            <w:r>
              <w:t>Project Atlas</w:t>
            </w:r>
          </w:p>
        </w:tc>
      </w:tr>
      <w:tr>
        <w:tc>
          <w:tcPr>
            <w:tcW w:type="dxa" w:w="2160"/>
            <w:shd w:fill="EAF0F5"/>
            <w:vAlign w:val="center"/>
          </w:tcPr>
          <w:p>
            <w:r>
              <w:rPr>
                <w:b/>
              </w:rPr>
              <w:t>CLASSIFICATION</w:t>
            </w:r>
          </w:p>
        </w:tc>
        <w:tc>
          <w:tcPr>
            <w:tcW w:type="dxa" w:w="6912"/>
            <w:vAlign w:val="center"/>
          </w:tcPr>
          <w:p>
            <w:r>
              <w:t>Internal</w:t>
            </w:r>
          </w:p>
        </w:tc>
      </w:tr>
      <w:tr>
        <w:tc>
          <w:tcPr>
            <w:tcW w:type="dxa" w:w="2160"/>
            <w:shd w:fill="EAF0F5"/>
            <w:vAlign w:val="center"/>
          </w:tcPr>
          <w:p>
            <w:r>
              <w:rPr>
                <w:b/>
              </w:rPr>
              <w:t>STATUS</w:t>
            </w:r>
          </w:p>
        </w:tc>
        <w:tc>
          <w:tcPr>
            <w:tcW w:type="dxa" w:w="6912"/>
            <w:vAlign w:val="center"/>
          </w:tcPr>
          <w:p>
            <w:r>
              <w:t>Working record</w:t>
            </w:r>
          </w:p>
        </w:tc>
      </w:tr>
    </w:tbl>
    <w:p/>
    <w:p>
      <w:pPr>
        <w:pStyle w:val="Heading1"/>
      </w:pPr>
      <w:r>
        <w:t>Context</w:t>
      </w:r>
    </w:p>
    <w:p>
      <w:r>
        <w:t>The group met to review supplier lead time, operations coverage, and the production calendar. Participants included product, platform engineering, release operations, support, and procurement.</w:t>
      </w:r>
    </w:p>
    <w:p>
      <w:pPr>
        <w:pStyle w:val="Heading1"/>
      </w:pPr>
      <w:r>
        <w:t>Discussion before decision</w:t>
      </w:r>
    </w:p>
    <w:p>
      <w:r>
        <w:t>Procurement proposed September 19 as a compromise if the supplier could confirm staffing by Friday. Operations preferred October 3 because it avoided the holiday support roster. Product asked whether a limited September 12 cohort could preserve the original announcement. These were alternatives under discussion, not approved dates.</w:t>
      </w:r>
    </w:p>
    <w:p>
      <w:r>
        <w:t>Several participants expressed a preference for keeping external messaging unchanged. The facilitator noted that preference but asked the group to decide based on operational readiness.</w:t>
      </w:r>
    </w:p>
    <w:p>
      <w:r>
        <w:br w:type="page"/>
      </w:r>
    </w:p>
    <w:p>
      <w:pPr>
        <w:pStyle w:val="Heading1"/>
      </w:pPr>
      <w:r>
        <w:t>Recorded decisions</w:t>
      </w:r>
    </w:p>
    <w:p>
      <w:r>
        <w:t>Decision: after reviewing the partner lead time and the holiday support roster, the group moved the production rollout date to September 26, 2026. The decision was accepted by product, engineering, and operations.</w:t>
      </w:r>
    </w:p>
    <w:p>
      <w:r>
        <w:t>Decision: the QA exit gate will require two independent reviewers before release evidence can be marked complete.</w:t>
      </w:r>
    </w:p>
    <w:p>
      <w:pPr>
        <w:pStyle w:val="Heading1"/>
      </w:pPr>
      <w:r>
        <w:t>Follow-up and parking lot</w:t>
      </w:r>
    </w:p>
    <w:p>
      <w:r>
        <w:t>Release operations will prepare an updated dependency view, and procurement will retain the supplier correspondence. The team will revisit customer messaging after the date conflict is reconciled in the status brief.</w:t>
      </w:r>
    </w:p>
    <w:p>
      <w:r>
        <w:t>Lunch orders, room access, and the fourth-floor seating move were discussed after the agenda. They have no bearing on Atlas delivery status.</w:t>
      </w:r>
    </w:p>
    <w:p>
      <w:r>
        <w:br w:type="page"/>
      </w:r>
    </w:p>
    <w:p>
      <w:pPr>
        <w:pStyle w:val="Heading1"/>
      </w:pPr>
      <w:r>
        <w:t>Discussion record</w:t>
      </w:r>
    </w:p>
    <w:p>
      <w:r>
        <w:t>Support asked whether weekend coverage could be borrowed from another program. No transfer was agreed. Procurement will return with supplier options at the next regular review.</w:t>
      </w:r>
    </w:p>
    <w:p>
      <w:r>
        <w:t>The facilitator reminded attendees that proposals remain proposals until captured under the decision heading. This note preserves the conversation without turning each suggestion into project truth.</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Controlled project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PROJECT ATLAS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659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65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