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Atlas Release Plan</w:t>
      </w:r>
    </w:p>
    <w:p>
      <w:pPr>
        <w:pStyle w:val="Subtitle"/>
      </w:pPr>
      <w:r>
        <w:t>Release sequencing, cohort controls, and readiness evidence</w:t>
      </w:r>
    </w:p>
    <w:tbl>
      <w:tblPr>
        <w:tblW w:type="auto" w:w="0"/>
        <w:tblLayout w:type="fixed"/>
        <w:tblLook w:firstColumn="1" w:firstRow="1" w:lastColumn="0" w:lastRow="0" w:noHBand="0" w:noVBand="1" w:val="04A0"/>
      </w:tblPr>
      <w:tblGrid>
        <w:gridCol w:w="4824"/>
        <w:gridCol w:w="4824"/>
      </w:tblGrid>
      <w:tr>
        <w:tc>
          <w:tcPr>
            <w:tcW w:type="dxa" w:w="2160"/>
            <w:shd w:fill="EAF0F5"/>
            <w:vAlign w:val="center"/>
          </w:tcPr>
          <w:p>
            <w:r>
              <w:rPr>
                <w:b/>
              </w:rPr>
              <w:t>PROGRAM</w:t>
            </w:r>
          </w:p>
        </w:tc>
        <w:tc>
          <w:tcPr>
            <w:tcW w:type="dxa" w:w="6912"/>
            <w:vAlign w:val="center"/>
          </w:tcPr>
          <w:p>
            <w:r>
              <w:t>Project Atlas</w:t>
            </w:r>
          </w:p>
        </w:tc>
      </w:tr>
      <w:tr>
        <w:tc>
          <w:tcPr>
            <w:tcW w:type="dxa" w:w="2160"/>
            <w:shd w:fill="EAF0F5"/>
            <w:vAlign w:val="center"/>
          </w:tcPr>
          <w:p>
            <w:r>
              <w:rPr>
                <w:b/>
              </w:rPr>
              <w:t>CLASSIFICATION</w:t>
            </w:r>
          </w:p>
        </w:tc>
        <w:tc>
          <w:tcPr>
            <w:tcW w:type="dxa" w:w="6912"/>
            <w:vAlign w:val="center"/>
          </w:tcPr>
          <w:p>
            <w:r>
              <w:t>Internal</w:t>
            </w:r>
          </w:p>
        </w:tc>
      </w:tr>
      <w:tr>
        <w:tc>
          <w:tcPr>
            <w:tcW w:type="dxa" w:w="2160"/>
            <w:shd w:fill="EAF0F5"/>
            <w:vAlign w:val="center"/>
          </w:tcPr>
          <w:p>
            <w:r>
              <w:rPr>
                <w:b/>
              </w:rPr>
              <w:t>STATUS</w:t>
            </w:r>
          </w:p>
        </w:tc>
        <w:tc>
          <w:tcPr>
            <w:tcW w:type="dxa" w:w="6912"/>
            <w:vAlign w:val="center"/>
          </w:tcPr>
          <w:p>
            <w:r>
              <w:t>Working record</w:t>
            </w:r>
          </w:p>
        </w:tc>
      </w:tr>
    </w:tbl>
    <w:p/>
    <w:p>
      <w:pPr>
        <w:pStyle w:val="Heading1"/>
      </w:pPr>
      <w:r>
        <w:t>Release intent</w:t>
      </w:r>
    </w:p>
    <w:p>
      <w:r>
        <w:t>This plan translates the approved delivery baseline into a controlled release sequence. It is written for engineering, operations, support, and customer-success leads who participate in readiness and stabilization.</w:t>
      </w:r>
    </w:p>
    <w:p>
      <w:r>
        <w:t>The release manager will use health evidence rather than elapsed time alone when advancing cohorts. A zero-downtime release is the team's aspiration, but it is not recorded as a guaranteed outcome.</w:t>
      </w:r>
    </w:p>
    <w:p>
      <w:pPr>
        <w:pStyle w:val="Heading1"/>
      </w:pPr>
      <w:r>
        <w:t>Release train</w:t>
      </w:r>
    </w:p>
    <w:p>
      <w:r>
        <w:t>The release train still places beta on August 28, 2026, with the package held in planned status until exit evidence is accepted.</w:t>
      </w:r>
    </w:p>
    <w:p>
      <w:r>
        <w:t>The launch will use a phased rollout: internal users first, then two customer cohorts, then broad availability after health checks.</w:t>
      </w:r>
    </w:p>
    <w:p>
      <w:r>
        <w:t>For production, the release baseline continues to show September 12, 2026 as the launch date.</w:t>
      </w:r>
    </w:p>
    <w:p>
      <w:r>
        <w:br w:type="page"/>
      </w:r>
    </w:p>
    <w:p>
      <w:pPr>
        <w:pStyle w:val="Heading1"/>
      </w:pPr>
      <w:r>
        <w:t>Cohort operations</w:t>
      </w:r>
    </w:p>
    <w:p>
      <w:r>
        <w:t>Internal users will validate authentication, audit export, and rollback controls before customer traffic is enabled. Customer cohort one emphasizes low-complexity tenants; cohort two broadens regional and integration coverage.</w:t>
      </w:r>
    </w:p>
    <w:p>
      <w:r>
        <w:t>A single-wave alternative was discussed to simplify communications. It was not approved because it concentrated operational risk and reduced the opportunity to observe early signals.</w:t>
      </w:r>
    </w:p>
    <w:p>
      <w:pPr>
        <w:pStyle w:val="Heading1"/>
      </w:pPr>
      <w:r>
        <w:t>Readiness evidence</w:t>
      </w:r>
    </w:p>
    <w:p>
      <w:r>
        <w:t>The readiness packet includes qualification results, security approval, support routing, customer messaging, and rollback verification. Evidence owners should resolve formatting defects before the meeting so the review can focus on delivery risk.</w:t>
      </w:r>
    </w:p>
    <w:p>
      <w:r>
        <w:t>Release operations will hold a thirty-minute briefing for support managers. Calendar logistics and attendee substitutions are administrative and do not alter the release baseline.</w:t>
      </w:r>
    </w:p>
    <w:p>
      <w:r>
        <w:br w:type="page"/>
      </w:r>
    </w:p>
    <w:p>
      <w:pPr>
        <w:pStyle w:val="Heading1"/>
      </w:pPr>
      <w:r>
        <w:t>Stabilization</w:t>
      </w:r>
    </w:p>
    <w:p>
      <w:r>
        <w:t>During each cohort, operations will watch authentication failures, request latency, queue depth, and rollback readiness. Thresholds live in the runbook and may be tuned without changing the project brief.</w:t>
      </w:r>
    </w:p>
    <w:p>
      <w:r>
        <w:t>Support will use the existing incident channel and escalation tree. A practice incident planned for the week before launch is a rehearsal, not a new project deadline.</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Controlled project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PROJECT ATLAS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59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5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