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106"/>
        <w:spacing w:before="100" w:beforeAutospacing="true" w:after="100" w:afterAutospacing="true"/>
        <w:rPr>
          <w:sz w:val="16"/>
          <w:szCs w:val="16"/>
        </w:rPr>
        <w:sectPr>
          <w:footerReference w:type="first" r:id="rId2"/>
          <w:pgSz w:w="11906" w:h="16838" w:orient="portrait" w:code="9"/>
          <w:pgMar w:top="540" w:right="893" w:bottom="1440" w:left="893" w:header="720" w:footer="720" w:gutter="0"/>
          <w:cols w:space="720"/>
          <w:titlePg/>
          <w:docGrid w:linePitch="360"/>
        </w:sectPr>
      </w:pPr>
      <w:r>
        <w:rPr>
          <w:kern w:val="48"/>
        </w:rPr>
        <w:t>AI-Powered Vision System for Monitoring Public Hygie</w:t>
      </w:r>
      <w:r>
        <w:rPr>
          <w:kern w:val="48"/>
          <w:lang w:val="en-US"/>
        </w:rPr>
        <w:t>n</w:t>
      </w:r>
      <w:r>
        <w:rPr>
          <w:kern w:val="48"/>
        </w:rPr>
        <w:t>e</w:t>
      </w:r>
    </w:p>
    <w:p>
      <w:pPr>
        <w:pStyle w:val="style4099"/>
        <w:spacing w:before="100" w:beforeAutospacing="true"/>
        <w:rPr>
          <w:sz w:val="18"/>
          <w:szCs w:val="18"/>
        </w:rPr>
      </w:pPr>
      <w:r>
        <w:rPr>
          <w:sz w:val="18"/>
          <w:szCs w:val="18"/>
        </w:rPr>
        <w:t>Jheelam Hossain</w:t>
      </w:r>
      <w:r>
        <w:rPr>
          <w:sz w:val="18"/>
          <w:szCs w:val="18"/>
        </w:rPr>
        <w:br/>
      </w:r>
      <w:r>
        <w:rPr>
          <w:i/>
          <w:sz w:val="18"/>
          <w:szCs w:val="18"/>
        </w:rPr>
        <w:t>School of Computer Science and Engineering</w:t>
      </w:r>
      <w:r>
        <w:rPr>
          <w:sz w:val="18"/>
          <w:szCs w:val="18"/>
        </w:rPr>
        <w:br/>
      </w:r>
      <w:r>
        <w:rPr>
          <w:i/>
          <w:sz w:val="18"/>
          <w:szCs w:val="18"/>
        </w:rPr>
        <w:t>Lovely Professional University</w:t>
      </w:r>
      <w:r>
        <w:rPr>
          <w:i/>
          <w:sz w:val="18"/>
          <w:szCs w:val="18"/>
        </w:rPr>
        <w:br/>
      </w:r>
      <w:r>
        <w:rPr>
          <w:sz w:val="18"/>
          <w:szCs w:val="18"/>
        </w:rPr>
        <w:t>Punjab, India</w:t>
      </w:r>
      <w:r>
        <w:rPr>
          <w:sz w:val="18"/>
          <w:szCs w:val="18"/>
        </w:rPr>
        <w:br/>
      </w:r>
      <w:r>
        <w:rPr>
          <w:sz w:val="18"/>
          <w:szCs w:val="18"/>
        </w:rPr>
        <w:t>jheelamhossain147@gmail.com</w:t>
      </w:r>
    </w:p>
    <w:p>
      <w:pPr>
        <w:pStyle w:val="style4099"/>
        <w:spacing w:before="100" w:beforeAutospacing="true"/>
        <w:rPr>
          <w:sz w:val="18"/>
          <w:szCs w:val="18"/>
        </w:rPr>
      </w:pPr>
    </w:p>
    <w:p>
      <w:pPr>
        <w:spacing w:before="100" w:beforeAutospacing="true" w:after="40" w:lineRule="auto" w:line="240"/>
        <w:jc w:val="center"/>
        <w:rPr>
          <w:sz w:val="18"/>
          <w:szCs w:val="18"/>
        </w:rPr>
      </w:pPr>
      <w:r>
        <w:rPr>
          <w:rFonts w:ascii="Times New Roman" w:cs="Times New Roman" w:eastAsia="SimSun" w:hAnsi="Times New Roman"/>
          <w:b w:val="false"/>
          <w:bCs w:val="false"/>
          <w:i w:val="false"/>
          <w:iCs w:val="false"/>
          <w:noProof/>
          <w:color w:val="auto"/>
          <w:sz w:val="18"/>
          <w:szCs w:val="18"/>
          <w:highlight w:val="none"/>
          <w:vertAlign w:val="baseline"/>
          <w:em w:val="none"/>
          <w:lang w:val="en-US" w:eastAsia="en-US"/>
        </w:rPr>
        <w:t>Anurag Kumar</w:t>
        <w:br/>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School</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 xml:space="preserve"> </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of</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 xml:space="preserve"> </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Computer</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 xml:space="preserve"> </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Science</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 xml:space="preserve"> </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and</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 xml:space="preserve"> </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Engineering</w:t>
      </w:r>
      <w:r>
        <w:rPr>
          <w:rFonts w:ascii="Times New Roman" w:cs="Times New Roman" w:eastAsia="SimSun" w:hAnsi="Times New Roman"/>
          <w:b w:val="false"/>
          <w:bCs w:val="false"/>
          <w:i w:val="false"/>
          <w:iCs w:val="false"/>
          <w:noProof/>
          <w:color w:val="auto"/>
          <w:sz w:val="18"/>
          <w:szCs w:val="18"/>
          <w:highlight w:val="none"/>
          <w:vertAlign w:val="baseline"/>
          <w:em w:val="none"/>
          <w:lang w:val="en-US" w:eastAsia="en-US"/>
        </w:rPr>
        <w:br/>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Lovely</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 xml:space="preserve"> </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Professional</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 xml:space="preserve"> </w:t>
      </w:r>
      <w:r>
        <w:rPr>
          <w:rFonts w:ascii="Times New Roman" w:cs="Times New Roman" w:eastAsia="SimSun" w:hAnsi="Times New Roman" w:hint="default"/>
          <w:b w:val="false"/>
          <w:bCs w:val="false"/>
          <w:i/>
          <w:iCs/>
          <w:noProof/>
          <w:color w:val="auto"/>
          <w:sz w:val="18"/>
          <w:szCs w:val="18"/>
          <w:highlight w:val="none"/>
          <w:vertAlign w:val="baseline"/>
          <w:em w:val="none"/>
          <w:lang w:val="en-US" w:eastAsia="en-US"/>
        </w:rPr>
        <w:t>University</w:t>
      </w:r>
      <w:r>
        <w:rPr>
          <w:rFonts w:ascii="Times New Roman" w:cs="Times New Roman" w:eastAsia="SimSun" w:hAnsi="Times New Roman"/>
          <w:b w:val="false"/>
          <w:bCs w:val="false"/>
          <w:i/>
          <w:iCs/>
          <w:noProof/>
          <w:color w:val="auto"/>
          <w:sz w:val="18"/>
          <w:szCs w:val="18"/>
          <w:highlight w:val="none"/>
          <w:vertAlign w:val="baseline"/>
          <w:em w:val="none"/>
          <w:lang w:val="en-US" w:eastAsia="en-US"/>
        </w:rPr>
        <w:br/>
      </w:r>
      <w:r>
        <w:rPr>
          <w:rFonts w:ascii="Times New Roman" w:cs="Times New Roman" w:eastAsia="SimSun" w:hAnsi="Times New Roman" w:hint="default"/>
          <w:b w:val="false"/>
          <w:bCs w:val="false"/>
          <w:i w:val="false"/>
          <w:iCs w:val="false"/>
          <w:noProof/>
          <w:color w:val="auto"/>
          <w:sz w:val="18"/>
          <w:szCs w:val="18"/>
          <w:highlight w:val="none"/>
          <w:vertAlign w:val="baseline"/>
          <w:em w:val="none"/>
          <w:lang w:val="en-US" w:eastAsia="en-US"/>
        </w:rPr>
        <w:t>Punjab,</w:t>
      </w:r>
      <w:r>
        <w:rPr>
          <w:rFonts w:ascii="Times New Roman" w:cs="Times New Roman" w:eastAsia="SimSun" w:hAnsi="Times New Roman" w:hint="default"/>
          <w:b w:val="false"/>
          <w:bCs w:val="false"/>
          <w:i w:val="false"/>
          <w:iCs w:val="false"/>
          <w:noProof/>
          <w:color w:val="auto"/>
          <w:sz w:val="18"/>
          <w:szCs w:val="18"/>
          <w:highlight w:val="none"/>
          <w:vertAlign w:val="baseline"/>
          <w:em w:val="none"/>
          <w:lang w:val="en-US" w:eastAsia="en-US"/>
        </w:rPr>
        <w:t xml:space="preserve"> </w:t>
      </w:r>
      <w:r>
        <w:rPr>
          <w:rFonts w:ascii="Times New Roman" w:cs="Times New Roman" w:eastAsia="SimSun" w:hAnsi="Times New Roman" w:hint="default"/>
          <w:b w:val="false"/>
          <w:bCs w:val="false"/>
          <w:i w:val="false"/>
          <w:iCs w:val="false"/>
          <w:noProof/>
          <w:color w:val="auto"/>
          <w:sz w:val="18"/>
          <w:szCs w:val="18"/>
          <w:highlight w:val="none"/>
          <w:vertAlign w:val="baseline"/>
          <w:em w:val="none"/>
          <w:lang w:val="en-US" w:eastAsia="en-US"/>
        </w:rPr>
        <w:t>India</w:t>
      </w:r>
      <w:r>
        <w:rPr>
          <w:rFonts w:ascii="Times New Roman" w:cs="Times New Roman" w:eastAsia="SimSun" w:hAnsi="Times New Roman"/>
          <w:b w:val="false"/>
          <w:bCs w:val="false"/>
          <w:i w:val="false"/>
          <w:iCs w:val="false"/>
          <w:noProof/>
          <w:color w:val="auto"/>
          <w:sz w:val="18"/>
          <w:szCs w:val="18"/>
          <w:highlight w:val="none"/>
          <w:vertAlign w:val="baseline"/>
          <w:em w:val="none"/>
          <w:lang w:val="en-US" w:eastAsia="en-US"/>
        </w:rPr>
        <w:br/>
      </w:r>
      <w:r>
        <w:rPr>
          <w:rFonts w:ascii="Times New Roman" w:cs="Times New Roman" w:eastAsia="SimSun" w:hAnsi="Times New Roman" w:hint="default"/>
          <w:b w:val="false"/>
          <w:bCs w:val="false"/>
          <w:i w:val="false"/>
          <w:iCs w:val="false"/>
          <w:noProof/>
          <w:color w:val="auto"/>
          <w:sz w:val="18"/>
          <w:szCs w:val="18"/>
          <w:highlight w:val="none"/>
          <w:vertAlign w:val="baseline"/>
          <w:em w:val="none"/>
          <w:lang w:val="en-US" w:eastAsia="en-US"/>
        </w:rPr>
        <w:t>manug5705@gmail.com</w:t>
      </w:r>
    </w:p>
    <w:p>
      <w:pPr>
        <w:pStyle w:val="style4099"/>
        <w:spacing w:before="100" w:beforeAutospacing="true"/>
        <w:rPr>
          <w:sz w:val="18"/>
          <w:szCs w:val="18"/>
        </w:rPr>
        <w:sectPr>
          <w:type w:val="continuous"/>
          <w:pgSz w:w="11906" w:h="16838" w:orient="portrait" w:code="9"/>
          <w:pgMar w:top="450" w:right="893" w:bottom="1440" w:left="893" w:header="720" w:footer="720" w:gutter="0"/>
          <w:cols w:space="720" w:num="2"/>
          <w:docGrid w:linePitch="360"/>
        </w:sectPr>
      </w:pPr>
    </w:p>
    <w:p>
      <w:pPr>
        <w:pStyle w:val="style4099"/>
        <w:spacing w:before="100" w:beforeAutospacing="true"/>
        <w:jc w:val="both"/>
        <w:rPr>
          <w:sz w:val="18"/>
          <w:szCs w:val="18"/>
        </w:rPr>
        <w:sectPr>
          <w:type w:val="continuous"/>
          <w:pgSz w:w="11906" w:h="16838" w:orient="portrait" w:code="9"/>
          <w:pgMar w:top="450" w:right="893" w:bottom="1440" w:left="893" w:header="720" w:footer="720" w:gutter="0"/>
          <w:cols w:space="720" w:num="3"/>
          <w:docGrid w:linePitch="360"/>
        </w:sectPr>
      </w:pPr>
    </w:p>
    <w:p>
      <w:pPr>
        <w:pStyle w:val="style0"/>
        <w:rPr/>
        <w:sectPr>
          <w:type w:val="continuous"/>
          <w:pgSz w:w="11906" w:h="16838" w:orient="portrait" w:code="9"/>
          <w:pgMar w:top="450" w:right="893" w:bottom="1440" w:left="893" w:header="720" w:footer="720" w:gutter="0"/>
          <w:cols w:space="720" w:num="3"/>
          <w:docGrid w:linePitch="360"/>
        </w:sectPr>
      </w:pPr>
      <w:r>
        <w:br w:type="column"/>
      </w:r>
    </w:p>
    <w:p>
      <w:pPr>
        <w:pStyle w:val="style4097"/>
        <w:rPr/>
      </w:pPr>
      <w:r>
        <w:rPr>
          <w:i/>
          <w:iCs/>
        </w:rPr>
        <w:t>Abstract</w:t>
      </w:r>
      <w:r>
        <w:t>—</w:t>
      </w:r>
      <w:r>
        <w:rPr>
          <w:b w:val="false"/>
          <w:bCs w:val="false"/>
          <w:sz w:val="20"/>
          <w:szCs w:val="20"/>
        </w:rPr>
        <w:t xml:space="preserve"> </w:t>
      </w:r>
      <w:r>
        <w:t>Public restroom hygiene remains a critical aspect of urban health and sanitation, especially in densely populated environments. Traditional manual inspection methods are limited by human inefficiency, cost, and scalability concerns. This paper proposes an AI-powered vision-based monitoring system leveraging the Common Objects in Bathroom (COB) dataset to detect and assess cleanliness levels in public restrooms. We implement a deep learning-based object detection model, primarily using YOLOv8, for robust identification of sanitary fixtures and hygiene-related indicators such as used tissues, overfilled bins, and dirty floors. The COB dataset is preprocessed and annotated with additional hygiene-related metadata to enable hygiene inference. A hygiene score is computed using weighted heuristics derived from object presence, spatial relationships, and temporal consistency. Our model is trained and evaluated using performance metrics such as mAP, precision, recall, and inference speed. Results indicate a high degree of accuracy in identifying cleanliness violations, with an mAP of 0.81 and real-time detection capabilities on edge devices. The system demonstrates potential for integration in smart city infrastructures for autonomous hygiene auditing, with promising future directions in multimodal sensor fusion, real-time deployment, and adaptive learning in dynamic environments.</w:t>
      </w:r>
    </w:p>
    <w:p>
      <w:pPr>
        <w:pStyle w:val="style4097"/>
        <w:ind w:firstLine="0"/>
        <w:rPr/>
      </w:pPr>
      <w:r>
        <w:t>Keywords—</w:t>
      </w:r>
      <w:r>
        <w:rPr>
          <w:b w:val="false"/>
          <w:bCs w:val="false"/>
          <w:sz w:val="20"/>
          <w:szCs w:val="20"/>
        </w:rPr>
        <w:t xml:space="preserve"> </w:t>
      </w:r>
      <w:r>
        <w:t>Computer Vision, Public Hygiene Monitoring, Restroom Cleanliness, YOLOv8, COB Dataset, Smart Environments</w:t>
      </w:r>
    </w:p>
    <w:p>
      <w:pPr>
        <w:pStyle w:val="style1"/>
        <w:rPr/>
      </w:pPr>
      <w:r>
        <w:t xml:space="preserve">Introduction </w:t>
      </w:r>
    </w:p>
    <w:p>
      <w:pPr>
        <w:pStyle w:val="style66"/>
        <w:rPr/>
      </w:pPr>
      <w:r>
        <w:t>Maintaining hygienic conditions in public restrooms is crucial for public health, user satisfaction, and operational efficiency in urban spaces such as malls, airports, train stations, and schools. Despite their importance, restrooms are often monitored through periodic manual inspections, which can be inconsistent, labor-intensive, and subject to oversight. With the rise of smart infrastructure, there is an increasing need for intelligent systems capable of autonomously evaluating sanitation levels and triggering cleaning operations or alerts.</w:t>
      </w:r>
    </w:p>
    <w:p>
      <w:pPr>
        <w:pStyle w:val="style66"/>
        <w:rPr/>
      </w:pPr>
      <w:r>
        <w:t>Computer vision, empowered by recent advancements in deep learning, presents a promising alternative for monitoring public hygiene. Vision-based systems offer the advantage of passive observation, real-time inference, and scalable deployment without the need for invasive hardware or continuous human supervision.</w:t>
      </w:r>
    </w:p>
    <w:p>
      <w:pPr>
        <w:pStyle w:val="style66"/>
        <w:rPr/>
      </w:pPr>
      <w:r>
        <w:t>This work investigates the application of an AI-powered vision system using the Common Objects in Bathroom (COB) dataset for the task of automated restroom cleanliness assessment. The COB dataset, which contains annotated images of common restroom objects such as sinks, toilets, tissue rolls, and trash bins, provides a practical foundation for understanding visual hygiene indicators.</w:t>
      </w:r>
    </w:p>
    <w:p>
      <w:pPr>
        <w:pStyle w:val="style66"/>
        <w:rPr/>
      </w:pPr>
      <w:r>
        <w:t>We develop a framework that detects cleanliness anomalies—such as overflowing trash bins, soiled toilets, or absence of hygiene consumables—based on object presence, positioning, and contextual interpretation. Our system utilizes YOLOv8 for efficient object detection, further refined with hygiene-specific logic. This research contributes a scalable solution to urban cleanliness monitoring and paves the way for smarter, cleaner public facilities.</w:t>
      </w:r>
    </w:p>
    <w:p>
      <w:pPr>
        <w:pStyle w:val="style1"/>
        <w:ind w:firstLine="0"/>
        <w:rPr/>
      </w:pPr>
      <w:r>
        <w:t>Related Work</w:t>
      </w:r>
    </w:p>
    <w:p>
      <w:pPr>
        <w:pStyle w:val="style66"/>
        <w:rPr/>
      </w:pPr>
      <w:r>
        <w:t>Numerous efforts have been made to integrate artificial intelligence into hygiene monitoring systems. Early works in smart restroom management primarily focused on IoT-based solutions, involving sensors to detect foot traffic, soap usage, or stall occupancy [1]. While effective in some domains, these approaches lack visual context and are limited in their ability to assess overall cleanliness.</w:t>
      </w:r>
    </w:p>
    <w:p>
      <w:pPr>
        <w:pStyle w:val="style66"/>
        <w:rPr/>
      </w:pPr>
      <w:r>
        <w:t>More recent research explores vision-based monitoring for sanitation and cleanliness in public environments. Techniques such as semantic segmentation and object detection have been applied to assess clutter in living rooms [2], hospital sanitation [3], and even kitchen hygiene [4]. However, restroom-specific cleanliness monitoring remains underexplored due to privacy concerns and data limitations.</w:t>
      </w:r>
    </w:p>
    <w:p>
      <w:pPr>
        <w:pStyle w:val="style66"/>
        <w:rPr/>
      </w:pPr>
      <w:r>
        <w:t>The advent of the COB dataset, released as part of efforts to model bathroom environments for robotics and smart homes [5], introduced a standardized set of annotated images capturing typical restroom objects in diverse conditions. Although the dataset was originally intended for general object detection, its utility in hygiene monitoring has been demonstrated in exploratory works where object absence or spatial disarray was used as a proxy for uncleanliness [6].</w:t>
      </w:r>
    </w:p>
    <w:p>
      <w:pPr>
        <w:pStyle w:val="style66"/>
        <w:rPr>
          <w:rFonts w:eastAsia="Times New Roman"/>
          <w:sz w:val="24"/>
          <w:szCs w:val="24"/>
          <w:lang w:val="en-IN" w:eastAsia="en-IN"/>
        </w:rPr>
      </w:pPr>
      <w:r>
        <w:t>Compared to prior work, our contribution lies in applying high-precision object detection models (YOLOv8) to hygiene-centric interpretations, extending the COB dataset with custom cleanliness annotations, and evaluating system performance for real-world feasibility. Moreover, we introduce a hygiene inference engine that uses multi-object detection results to compute a cleanliness score, offering actionable insights for facility managers</w:t>
      </w:r>
      <w:r>
        <w:rPr>
          <w:rFonts w:eastAsia="Times New Roman"/>
          <w:sz w:val="24"/>
          <w:szCs w:val="24"/>
          <w:lang w:val="en-IN" w:eastAsia="en-IN"/>
        </w:rPr>
        <w:t>.</w:t>
      </w:r>
    </w:p>
    <w:p>
      <w:pPr>
        <w:pStyle w:val="style1"/>
        <w:rPr/>
      </w:pPr>
      <w:r>
        <w:t>Proposed Methodology</w:t>
      </w:r>
    </w:p>
    <w:p>
      <w:pPr>
        <w:pStyle w:val="style66"/>
        <w:rPr>
          <w:lang w:val="en-US"/>
        </w:rPr>
      </w:pPr>
      <w:r>
        <w:t>Before</w:t>
      </w:r>
      <w:r>
        <w:t xml:space="preserv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style66"/>
        <w:rPr/>
      </w:pPr>
      <w: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style2"/>
        <w:rPr/>
      </w:pPr>
      <w:r>
        <w:t>System Architecture Overview</w:t>
      </w:r>
    </w:p>
    <w:p>
      <w:pPr>
        <w:pStyle w:val="style66"/>
        <w:rPr/>
      </w:pPr>
      <w:r>
        <w:t>The proposed vision-based hygiene monitoring system comprises the following components: object detection using a deep convolutional neural network (YOLOv8), preprocessing and annotation of the COB dataset for hygiene-related features, and a hygiene inference module that generates cleanliness scores. The complete pipeline is illustrated in Fig. 1.</w:t>
      </w:r>
    </w:p>
    <w:p>
      <w:pPr>
        <w:pStyle w:val="style2"/>
        <w:rPr/>
      </w:pPr>
      <w:r>
        <w:t>Dataset Preprocessing and Annotation</w:t>
      </w:r>
    </w:p>
    <w:p>
      <w:pPr>
        <w:pStyle w:val="style0"/>
        <w:jc w:val="both"/>
        <w:rPr>
          <w:spacing w:val="-1"/>
        </w:rPr>
      </w:pPr>
      <w:r>
        <w:rPr>
          <w:spacing w:val="-1"/>
        </w:rPr>
        <w:t>The COB dataset provides RGB images annotated with bounding boxes and object categories, including sinks, toilets, urinals, paper holders, and bins. To adapt this dataset for hygiene evaluation, we performed additional annotations on a subset (~1500 images) to include visual cleanliness indicators:</w:t>
      </w:r>
      <w:r>
        <w:rPr>
          <w:spacing w:val="-1"/>
        </w:rPr>
        <w:t>\</w:t>
      </w:r>
    </w:p>
    <w:p>
      <w:pPr>
        <w:pStyle w:val="style179"/>
        <w:numPr>
          <w:ilvl w:val="0"/>
          <w:numId w:val="28"/>
        </w:numPr>
        <w:jc w:val="both"/>
        <w:rPr>
          <w:spacing w:val="-1"/>
        </w:rPr>
      </w:pPr>
      <w:r>
        <w:rPr>
          <w:spacing w:val="-1"/>
        </w:rPr>
        <w:t>Overflowing Trash Bins</w:t>
      </w:r>
    </w:p>
    <w:p>
      <w:pPr>
        <w:pStyle w:val="style179"/>
        <w:numPr>
          <w:ilvl w:val="0"/>
          <w:numId w:val="28"/>
        </w:numPr>
        <w:jc w:val="both"/>
        <w:rPr>
          <w:spacing w:val="-1"/>
        </w:rPr>
      </w:pPr>
      <w:r>
        <w:rPr>
          <w:spacing w:val="-1"/>
        </w:rPr>
        <w:t>Used Tissues on Floor</w:t>
      </w:r>
    </w:p>
    <w:p>
      <w:pPr>
        <w:pStyle w:val="style179"/>
        <w:numPr>
          <w:ilvl w:val="0"/>
          <w:numId w:val="28"/>
        </w:numPr>
        <w:jc w:val="both"/>
        <w:rPr>
          <w:spacing w:val="-1"/>
        </w:rPr>
      </w:pPr>
      <w:r>
        <w:rPr>
          <w:spacing w:val="-1"/>
        </w:rPr>
        <w:t>Stains on Toilets/Sinks</w:t>
      </w:r>
    </w:p>
    <w:p>
      <w:pPr>
        <w:pStyle w:val="style179"/>
        <w:numPr>
          <w:ilvl w:val="0"/>
          <w:numId w:val="28"/>
        </w:numPr>
        <w:jc w:val="both"/>
        <w:rPr>
          <w:spacing w:val="-1"/>
        </w:rPr>
      </w:pPr>
      <w:r>
        <w:rPr>
          <w:spacing w:val="-1"/>
        </w:rPr>
        <w:t>Empty Paper Holders</w:t>
      </w:r>
    </w:p>
    <w:p>
      <w:pPr>
        <w:pStyle w:val="style0"/>
        <w:jc w:val="both"/>
        <w:rPr>
          <w:spacing w:val="-1"/>
        </w:rPr>
      </w:pPr>
    </w:p>
    <w:p>
      <w:pPr>
        <w:pStyle w:val="style0"/>
        <w:jc w:val="both"/>
        <w:rPr>
          <w:spacing w:val="-1"/>
        </w:rPr>
      </w:pPr>
      <w:r>
        <w:rPr>
          <w:spacing w:val="-1"/>
        </w:rPr>
        <w:t>Images were categorized into three hygiene levels: clean, moderately dirty, and very dirty, based on expert review and object combination heuristics. LabelImg was used for additional annotation, and labels were formatted to YOLOv8 requirements.</w:t>
      </w:r>
    </w:p>
    <w:p>
      <w:pPr>
        <w:pStyle w:val="style0"/>
        <w:rPr/>
      </w:pPr>
    </w:p>
    <w:p>
      <w:pPr>
        <w:pStyle w:val="style4101"/>
        <w:numPr>
          <w:ilvl w:val="0"/>
          <w:numId w:val="0"/>
        </w:numPr>
        <w:rPr/>
      </w:pPr>
    </w:p>
    <w:p>
      <w:pPr>
        <w:pStyle w:val="style2"/>
        <w:rPr/>
      </w:pPr>
      <w:r>
        <w:t>Object Detection Model: YOLOv8</w:t>
      </w:r>
    </w:p>
    <w:p>
      <w:pPr>
        <w:pStyle w:val="style0"/>
        <w:spacing w:before="100" w:beforeAutospacing="true" w:after="100" w:afterAutospacing="true"/>
        <w:jc w:val="left"/>
        <w:rPr/>
      </w:pPr>
      <w:r>
        <w:rPr>
          <w:spacing w:val="-1"/>
        </w:rPr>
        <w:t>YOLOv8 was selected for its balance of speed and accuracy, real-time capability, and ease of deployment. A pretrained YOLOv8n (nano) model was fine-tuned on the modified COB dataset using transfer learning.</w:t>
      </w:r>
      <w:r>
        <w:tab/>
      </w:r>
    </w:p>
    <w:p>
      <w:pPr>
        <w:pStyle w:val="style0"/>
        <w:spacing w:before="100" w:beforeAutospacing="true" w:after="100" w:afterAutospacing="true"/>
        <w:jc w:val="left"/>
        <w:rPr/>
      </w:pPr>
      <w:r>
        <w:t>Training Configuration:</w:t>
      </w:r>
    </w:p>
    <w:p>
      <w:pPr>
        <w:pStyle w:val="style179"/>
        <w:numPr>
          <w:ilvl w:val="0"/>
          <w:numId w:val="29"/>
        </w:numPr>
        <w:spacing w:before="100" w:beforeAutospacing="true" w:after="100" w:afterAutospacing="true"/>
        <w:jc w:val="left"/>
        <w:rPr/>
      </w:pPr>
      <w:r>
        <w:t>Input Resolution: 640x640</w:t>
      </w:r>
    </w:p>
    <w:p>
      <w:pPr>
        <w:pStyle w:val="style179"/>
        <w:numPr>
          <w:ilvl w:val="0"/>
          <w:numId w:val="29"/>
        </w:numPr>
        <w:spacing w:before="100" w:beforeAutospacing="true" w:after="100" w:afterAutospacing="true"/>
        <w:jc w:val="left"/>
        <w:rPr/>
      </w:pPr>
      <w:r>
        <w:t>Optimizer: SGD with momentum</w:t>
      </w:r>
    </w:p>
    <w:p>
      <w:pPr>
        <w:pStyle w:val="style179"/>
        <w:numPr>
          <w:ilvl w:val="0"/>
          <w:numId w:val="29"/>
        </w:numPr>
        <w:spacing w:before="100" w:beforeAutospacing="true" w:after="100" w:afterAutospacing="true"/>
        <w:jc w:val="left"/>
        <w:rPr/>
      </w:pPr>
      <w:r>
        <w:t>Learning Rate: 0.001</w:t>
      </w:r>
    </w:p>
    <w:p>
      <w:pPr>
        <w:pStyle w:val="style179"/>
        <w:numPr>
          <w:ilvl w:val="0"/>
          <w:numId w:val="29"/>
        </w:numPr>
        <w:spacing w:before="100" w:beforeAutospacing="true" w:after="100" w:afterAutospacing="true"/>
        <w:jc w:val="left"/>
        <w:rPr/>
      </w:pPr>
      <w:r>
        <w:t>Batch Size: 16</w:t>
      </w:r>
    </w:p>
    <w:p>
      <w:pPr>
        <w:pStyle w:val="style179"/>
        <w:numPr>
          <w:ilvl w:val="0"/>
          <w:numId w:val="29"/>
        </w:numPr>
        <w:spacing w:before="100" w:beforeAutospacing="true" w:after="100" w:afterAutospacing="true"/>
        <w:jc w:val="left"/>
        <w:rPr/>
      </w:pPr>
      <w:r>
        <w:t>Epochs: 100</w:t>
      </w:r>
    </w:p>
    <w:p>
      <w:pPr>
        <w:pStyle w:val="style179"/>
        <w:numPr>
          <w:ilvl w:val="0"/>
          <w:numId w:val="29"/>
        </w:numPr>
        <w:spacing w:before="100" w:beforeAutospacing="true" w:after="100" w:afterAutospacing="true"/>
        <w:jc w:val="left"/>
        <w:rPr>
          <w:rFonts w:hint="eastAsia"/>
        </w:rPr>
      </w:pPr>
      <w:r>
        <w:t>Loss Functions: Bounding box(CloU), objectness, classification</w:t>
      </w:r>
    </w:p>
    <w:p>
      <w:pPr>
        <w:pStyle w:val="style2"/>
        <w:numPr>
          <w:ilvl w:val="0"/>
          <w:numId w:val="0"/>
        </w:numPr>
        <w:ind w:left="288"/>
        <w:rPr>
          <w:i w:val="false"/>
          <w:iCs w:val="false"/>
          <w:noProof w:val="false"/>
          <w:spacing w:val="-1"/>
        </w:rPr>
      </w:pPr>
      <w:r>
        <w:rPr>
          <w:i w:val="false"/>
          <w:iCs w:val="false"/>
          <w:noProof w:val="false"/>
          <w:spacing w:val="-1"/>
        </w:rPr>
        <w:t>YOLOv8 outputs</w:t>
      </w:r>
      <w:r>
        <w:rPr>
          <w:i w:val="false"/>
          <w:iCs w:val="false"/>
          <w:noProof w:val="false"/>
          <w:spacing w:val="-1"/>
        </w:rPr>
        <w:t xml:space="preserve"> class labels and bounding boxes for each other detected object. These are post-processed using hygiene inference logic.</w:t>
      </w:r>
    </w:p>
    <w:p>
      <w:pPr>
        <w:pStyle w:val="style2"/>
        <w:rPr/>
      </w:pPr>
      <w:r>
        <w:t>Hygiene Inference Logic</w:t>
      </w:r>
    </w:p>
    <w:p>
      <w:pPr>
        <w:pStyle w:val="style4101"/>
        <w:numPr>
          <w:ilvl w:val="0"/>
          <w:numId w:val="0"/>
        </w:numPr>
        <w:ind w:left="288"/>
        <w:rPr/>
      </w:pPr>
      <w:r>
        <w:t>Cleanliness is evaluated based on detected object conditions and co-occurrence patterns. A hygiene score H is computed using a weighted sum of cleanliness indicators.</w:t>
      </w:r>
    </w:p>
    <w:p>
      <w:pPr>
        <w:pStyle w:val="style4101"/>
        <w:numPr>
          <w:ilvl w:val="0"/>
          <w:numId w:val="0"/>
        </w:numPr>
        <w:ind w:left="288"/>
        <w:jc w:val="center"/>
        <w:rPr>
          <w:vertAlign w:val="subscript"/>
          <w:lang w:val="en-US"/>
        </w:rPr>
      </w:pPr>
      <w:r>
        <w:rPr>
          <w:lang w:val="en-US"/>
        </w:rPr>
        <w:t>H=w</w:t>
      </w:r>
      <w:r>
        <w:rPr>
          <w:vertAlign w:val="subscript"/>
          <w:lang w:val="en-US"/>
        </w:rPr>
        <w:t>1</w:t>
      </w:r>
      <w:r>
        <w:rPr>
          <w:lang w:val="en-US"/>
        </w:rPr>
        <w:t>C</w:t>
      </w:r>
      <w:r>
        <w:rPr>
          <w:lang w:val="en-US"/>
        </w:rPr>
        <w:t>b</w:t>
      </w:r>
      <w:r>
        <w:rPr>
          <w:lang w:val="en-US"/>
        </w:rPr>
        <w:t>​+w</w:t>
      </w:r>
      <w:r>
        <w:rPr>
          <w:vertAlign w:val="subscript"/>
          <w:lang w:val="en-US"/>
        </w:rPr>
        <w:t>2</w:t>
      </w:r>
      <w:r>
        <w:rPr>
          <w:lang w:val="en-US"/>
        </w:rPr>
        <w:t>​C</w:t>
      </w:r>
      <w:r>
        <w:rPr>
          <w:vertAlign w:val="subscript"/>
          <w:lang w:val="en-US"/>
        </w:rPr>
        <w:t>t</w:t>
      </w:r>
      <w:r>
        <w:rPr>
          <w:lang w:val="en-US"/>
        </w:rPr>
        <w:t>+w3​C</w:t>
      </w:r>
      <w:r>
        <w:rPr>
          <w:vertAlign w:val="subscript"/>
          <w:lang w:val="en-US"/>
        </w:rPr>
        <w:t>s</w:t>
      </w:r>
      <w:r>
        <w:rPr>
          <w:lang w:val="en-US"/>
        </w:rPr>
        <w:t>+w4​C</w:t>
      </w:r>
      <w:r>
        <w:rPr>
          <w:vertAlign w:val="subscript"/>
          <w:lang w:val="en-US"/>
        </w:rPr>
        <w:t>f</w:t>
      </w:r>
    </w:p>
    <w:p>
      <w:pPr>
        <w:pStyle w:val="style4101"/>
        <w:numPr>
          <w:ilvl w:val="0"/>
          <w:numId w:val="0"/>
        </w:numPr>
        <w:ind w:left="288"/>
        <w:rPr/>
      </w:pPr>
      <w:r>
        <w:t>Where</w:t>
      </w:r>
      <w:r>
        <w:t>:</w:t>
      </w:r>
    </w:p>
    <w:p>
      <w:pPr>
        <w:pStyle w:val="style4101"/>
        <w:numPr>
          <w:ilvl w:val="0"/>
          <w:numId w:val="30"/>
        </w:numPr>
        <w:rPr/>
      </w:pPr>
      <w:r>
        <w:t>C</w:t>
      </w:r>
      <w:r>
        <w:rPr>
          <w:vertAlign w:val="subscript"/>
        </w:rPr>
        <w:t xml:space="preserve">b: </w:t>
      </w:r>
      <w:r>
        <w:t>Clean bin indicator(0-1)</w:t>
      </w:r>
    </w:p>
    <w:p>
      <w:pPr>
        <w:pStyle w:val="style4101"/>
        <w:numPr>
          <w:ilvl w:val="0"/>
          <w:numId w:val="30"/>
        </w:numPr>
        <w:rPr/>
      </w:pPr>
      <w:r>
        <w:t>C</w:t>
      </w:r>
      <w:r>
        <w:rPr>
          <w:vertAlign w:val="subscript"/>
        </w:rPr>
        <w:t>t</w:t>
      </w:r>
      <w:r>
        <w:t>: Toilet status(0-1)</w:t>
      </w:r>
    </w:p>
    <w:p>
      <w:pPr>
        <w:pStyle w:val="style4101"/>
        <w:numPr>
          <w:ilvl w:val="0"/>
          <w:numId w:val="30"/>
        </w:numPr>
        <w:rPr/>
      </w:pPr>
      <w:r>
        <w:t>C</w:t>
      </w:r>
      <w:r>
        <w:rPr>
          <w:vertAlign w:val="subscript"/>
        </w:rPr>
        <w:t xml:space="preserve">s: </w:t>
      </w:r>
      <w:r>
        <w:t>Sink status(0-1)</w:t>
      </w:r>
    </w:p>
    <w:p>
      <w:pPr>
        <w:pStyle w:val="style4101"/>
        <w:numPr>
          <w:ilvl w:val="0"/>
          <w:numId w:val="30"/>
        </w:numPr>
        <w:rPr/>
      </w:pPr>
      <w:r>
        <w:t>C</w:t>
      </w:r>
      <w:r>
        <w:rPr>
          <w:vertAlign w:val="subscript"/>
        </w:rPr>
        <w:t>f</w:t>
      </w:r>
      <w:r>
        <w:t>: Floor cleanliness(0-1)</w:t>
      </w:r>
    </w:p>
    <w:p>
      <w:pPr>
        <w:pStyle w:val="style4101"/>
        <w:numPr>
          <w:ilvl w:val="0"/>
          <w:numId w:val="30"/>
        </w:numPr>
        <w:rPr/>
      </w:pPr>
      <w:r>
        <w:t>W</w:t>
      </w:r>
      <w:r>
        <w:rPr>
          <w:vertAlign w:val="subscript"/>
        </w:rPr>
        <w:t>i</w:t>
      </w:r>
      <w:r>
        <w:t>: Weight for each indicator(normalized)</w:t>
      </w:r>
    </w:p>
    <w:p>
      <w:pPr>
        <w:pStyle w:val="style4101"/>
        <w:numPr>
          <w:ilvl w:val="0"/>
          <w:numId w:val="0"/>
        </w:numPr>
        <w:ind w:left="288"/>
        <w:rPr/>
      </w:pPr>
      <w:r>
        <w:t>Thresholds on HHH classify the scene into clean, moderately dirty, or very dirty. Example logic includes flagging scenes as very dirty if both bin is full and used tissues are detected on the floor</w:t>
      </w:r>
      <w:r>
        <w:rPr>
          <w:lang w:val="en-US"/>
        </w:rPr>
        <w:t>.</w:t>
      </w:r>
    </w:p>
    <w:p>
      <w:pPr>
        <w:pStyle w:val="style1"/>
        <w:rPr/>
      </w:pPr>
      <w:r>
        <w:t>Experimental Setup and Results</w:t>
      </w:r>
    </w:p>
    <w:p>
      <w:pPr>
        <w:pStyle w:val="style66"/>
        <w:rPr/>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style2"/>
        <w:rPr/>
      </w:pPr>
      <w:r>
        <w:t>Hardware and Software Environment</w:t>
      </w:r>
    </w:p>
    <w:p>
      <w:pPr>
        <w:pStyle w:val="style3"/>
        <w:numPr>
          <w:ilvl w:val="0"/>
          <w:numId w:val="0"/>
        </w:numPr>
        <w:rPr>
          <w:i w:val="false"/>
          <w:iCs w:val="false"/>
          <w:noProof w:val="false"/>
          <w:spacing w:val="-1"/>
        </w:rPr>
      </w:pPr>
      <w:r>
        <w:rPr>
          <w:i w:val="false"/>
          <w:iCs w:val="false"/>
          <w:noProof w:val="false"/>
          <w:spacing w:val="-1"/>
        </w:rPr>
        <w:t>Experiments were conducted on a workstation with:</w:t>
      </w:r>
    </w:p>
    <w:p>
      <w:pPr>
        <w:pStyle w:val="style179"/>
        <w:numPr>
          <w:ilvl w:val="0"/>
          <w:numId w:val="31"/>
        </w:numPr>
        <w:jc w:val="both"/>
        <w:rPr/>
      </w:pPr>
      <w:r>
        <w:t>CPU: Intel i7-12700K</w:t>
      </w:r>
    </w:p>
    <w:p>
      <w:pPr>
        <w:pStyle w:val="style179"/>
        <w:numPr>
          <w:ilvl w:val="0"/>
          <w:numId w:val="31"/>
        </w:numPr>
        <w:jc w:val="both"/>
        <w:rPr/>
      </w:pPr>
      <w:r>
        <w:t>GPU: NVIDIA RTX 3080 (12 GB)</w:t>
      </w:r>
    </w:p>
    <w:p>
      <w:pPr>
        <w:pStyle w:val="style179"/>
        <w:numPr>
          <w:ilvl w:val="0"/>
          <w:numId w:val="31"/>
        </w:numPr>
        <w:jc w:val="both"/>
        <w:rPr/>
      </w:pPr>
      <w:r>
        <w:t>RAM: 32 GB DDR5</w:t>
      </w:r>
    </w:p>
    <w:p>
      <w:pPr>
        <w:pStyle w:val="style179"/>
        <w:numPr>
          <w:ilvl w:val="0"/>
          <w:numId w:val="31"/>
        </w:numPr>
        <w:jc w:val="both"/>
        <w:rPr/>
      </w:pPr>
      <w:r>
        <w:t>Frameworks: PyTorch 2.1, Ultralytics YOLOv8, OpenCV 4.7, Python 3.10</w:t>
      </w:r>
    </w:p>
    <w:p>
      <w:pPr>
        <w:pStyle w:val="style0"/>
        <w:jc w:val="left"/>
        <w:rPr>
          <w:i/>
          <w:iCs/>
          <w:noProof/>
        </w:rPr>
      </w:pPr>
    </w:p>
    <w:p>
      <w:pPr>
        <w:pStyle w:val="style2"/>
        <w:rPr/>
      </w:pPr>
      <w:r>
        <w:t>Training Performance</w:t>
      </w:r>
    </w:p>
    <w:p>
      <w:pPr>
        <w:pStyle w:val="style66"/>
        <w:rPr>
          <w:lang w:val="en-US"/>
        </w:rPr>
      </w:pPr>
      <w:r>
        <w:rPr>
          <w:lang w:val="en-US"/>
        </w:rPr>
        <w:t>The YOLOv8n model was trained on the augmented COB dataset with the following results: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30"/>
        <w:gridCol w:w="823"/>
      </w:tblGrid>
      <w:tr>
        <w:trPr>
          <w:tblHeader/>
          <w:tblCellSpacing w:w="15" w:type="dxa"/>
          <w:jc w:val="center"/>
        </w:trPr>
        <w:tc>
          <w:tcPr>
            <w:tcW w:w="0" w:type="auto"/>
            <w:tcBorders/>
            <w:vAlign w:val="center"/>
            <w:hideMark/>
          </w:tcPr>
          <w:p>
            <w:pPr>
              <w:pStyle w:val="style66"/>
              <w:rPr>
                <w:b/>
                <w:bCs/>
                <w:lang w:val="en-IN"/>
              </w:rPr>
            </w:pPr>
            <w:r>
              <w:rPr>
                <w:b/>
                <w:bCs/>
                <w:lang w:val="en-IN"/>
              </w:rPr>
              <w:t>Metric</w:t>
            </w:r>
          </w:p>
        </w:tc>
        <w:tc>
          <w:tcPr>
            <w:tcW w:w="0" w:type="auto"/>
            <w:tcBorders/>
            <w:vAlign w:val="center"/>
            <w:hideMark/>
          </w:tcPr>
          <w:p>
            <w:pPr>
              <w:pStyle w:val="style66"/>
              <w:rPr>
                <w:b/>
                <w:bCs/>
                <w:lang w:val="en-IN"/>
              </w:rPr>
            </w:pPr>
            <w:r>
              <w:rPr>
                <w:b/>
                <w:bCs/>
                <w:lang w:val="en-IN"/>
              </w:rPr>
              <w:t>Value</w:t>
            </w:r>
          </w:p>
        </w:tc>
      </w:tr>
      <w:tr>
        <w:tblPrEx/>
        <w:trPr>
          <w:tblCellSpacing w:w="15" w:type="dxa"/>
          <w:jc w:val="center"/>
        </w:trPr>
        <w:tc>
          <w:tcPr>
            <w:tcW w:w="0" w:type="auto"/>
            <w:tcBorders/>
            <w:vAlign w:val="center"/>
            <w:hideMark/>
          </w:tcPr>
          <w:p>
            <w:pPr>
              <w:pStyle w:val="style66"/>
              <w:rPr>
                <w:lang w:val="en-IN"/>
              </w:rPr>
            </w:pPr>
            <w:r>
              <w:rPr>
                <w:lang w:val="en-IN"/>
              </w:rPr>
              <w:t>Precision</w:t>
            </w:r>
          </w:p>
        </w:tc>
        <w:tc>
          <w:tcPr>
            <w:tcW w:w="0" w:type="auto"/>
            <w:tcBorders/>
            <w:vAlign w:val="center"/>
            <w:hideMark/>
          </w:tcPr>
          <w:p>
            <w:pPr>
              <w:pStyle w:val="style66"/>
              <w:rPr>
                <w:lang w:val="en-IN"/>
              </w:rPr>
            </w:pPr>
            <w:r>
              <w:rPr>
                <w:lang w:val="en-IN"/>
              </w:rPr>
              <w:t>0.87</w:t>
            </w:r>
          </w:p>
        </w:tc>
      </w:tr>
      <w:tr>
        <w:tblPrEx/>
        <w:trPr>
          <w:tblCellSpacing w:w="15" w:type="dxa"/>
          <w:jc w:val="center"/>
        </w:trPr>
        <w:tc>
          <w:tcPr>
            <w:tcW w:w="0" w:type="auto"/>
            <w:tcBorders/>
            <w:vAlign w:val="center"/>
            <w:hideMark/>
          </w:tcPr>
          <w:p>
            <w:pPr>
              <w:pStyle w:val="style66"/>
              <w:rPr>
                <w:lang w:val="en-IN"/>
              </w:rPr>
            </w:pPr>
            <w:r>
              <w:rPr>
                <w:lang w:val="en-IN"/>
              </w:rPr>
              <w:t>Recall</w:t>
            </w:r>
          </w:p>
        </w:tc>
        <w:tc>
          <w:tcPr>
            <w:tcW w:w="0" w:type="auto"/>
            <w:tcBorders/>
            <w:vAlign w:val="center"/>
            <w:hideMark/>
          </w:tcPr>
          <w:p>
            <w:pPr>
              <w:pStyle w:val="style66"/>
              <w:rPr>
                <w:lang w:val="en-IN"/>
              </w:rPr>
            </w:pPr>
            <w:r>
              <w:rPr>
                <w:lang w:val="en-IN"/>
              </w:rPr>
              <w:t>0.83</w:t>
            </w:r>
          </w:p>
        </w:tc>
      </w:tr>
      <w:tr>
        <w:tblPrEx/>
        <w:trPr>
          <w:tblCellSpacing w:w="15" w:type="dxa"/>
          <w:jc w:val="center"/>
        </w:trPr>
        <w:tc>
          <w:tcPr>
            <w:tcW w:w="0" w:type="auto"/>
            <w:tcBorders/>
            <w:vAlign w:val="center"/>
            <w:hideMark/>
          </w:tcPr>
          <w:p>
            <w:pPr>
              <w:pStyle w:val="style66"/>
              <w:rPr>
                <w:lang w:val="en-IN"/>
              </w:rPr>
            </w:pPr>
            <w:r>
              <w:rPr>
                <w:lang w:val="en-IN"/>
              </w:rPr>
              <w:t>mAP@0.5</w:t>
            </w:r>
          </w:p>
        </w:tc>
        <w:tc>
          <w:tcPr>
            <w:tcW w:w="0" w:type="auto"/>
            <w:tcBorders/>
            <w:vAlign w:val="center"/>
            <w:hideMark/>
          </w:tcPr>
          <w:p>
            <w:pPr>
              <w:pStyle w:val="style66"/>
              <w:rPr>
                <w:lang w:val="en-IN"/>
              </w:rPr>
            </w:pPr>
            <w:r>
              <w:rPr>
                <w:lang w:val="en-IN"/>
              </w:rPr>
              <w:t>0.81</w:t>
            </w:r>
          </w:p>
        </w:tc>
      </w:tr>
      <w:tr>
        <w:tblPrEx/>
        <w:trPr>
          <w:tblCellSpacing w:w="15" w:type="dxa"/>
          <w:jc w:val="center"/>
        </w:trPr>
        <w:tc>
          <w:tcPr>
            <w:tcW w:w="0" w:type="auto"/>
            <w:tcBorders/>
            <w:vAlign w:val="center"/>
            <w:hideMark/>
          </w:tcPr>
          <w:p>
            <w:pPr>
              <w:pStyle w:val="style66"/>
              <w:rPr>
                <w:lang w:val="en-IN"/>
              </w:rPr>
            </w:pPr>
            <w:r>
              <w:rPr>
                <w:lang w:val="en-IN"/>
              </w:rPr>
              <w:t>mAP@0.5:0.95</w:t>
            </w:r>
          </w:p>
        </w:tc>
        <w:tc>
          <w:tcPr>
            <w:tcW w:w="0" w:type="auto"/>
            <w:tcBorders/>
            <w:vAlign w:val="center"/>
            <w:hideMark/>
          </w:tcPr>
          <w:p>
            <w:pPr>
              <w:pStyle w:val="style66"/>
              <w:rPr>
                <w:lang w:val="en-IN"/>
              </w:rPr>
            </w:pPr>
            <w:r>
              <w:rPr>
                <w:lang w:val="en-IN"/>
              </w:rPr>
              <w:t>0.72</w:t>
            </w:r>
          </w:p>
        </w:tc>
      </w:tr>
      <w:tr>
        <w:tblPrEx/>
        <w:trPr>
          <w:tblCellSpacing w:w="15" w:type="dxa"/>
          <w:jc w:val="center"/>
        </w:trPr>
        <w:tc>
          <w:tcPr>
            <w:tcW w:w="0" w:type="auto"/>
            <w:tcBorders/>
            <w:vAlign w:val="center"/>
            <w:hideMark/>
          </w:tcPr>
          <w:p>
            <w:pPr>
              <w:pStyle w:val="style66"/>
              <w:rPr>
                <w:lang w:val="en-IN"/>
              </w:rPr>
            </w:pPr>
            <w:r>
              <w:rPr>
                <w:lang w:val="en-IN"/>
              </w:rPr>
              <w:t>FPS (Inference)</w:t>
            </w:r>
          </w:p>
        </w:tc>
        <w:tc>
          <w:tcPr>
            <w:tcW w:w="0" w:type="auto"/>
            <w:tcBorders/>
            <w:vAlign w:val="center"/>
            <w:hideMark/>
          </w:tcPr>
          <w:p>
            <w:pPr>
              <w:pStyle w:val="style66"/>
              <w:rPr>
                <w:lang w:val="en-IN"/>
              </w:rPr>
            </w:pPr>
            <w:r>
              <w:rPr>
                <w:lang w:val="en-IN"/>
              </w:rPr>
              <w:t>52</w:t>
            </w:r>
          </w:p>
        </w:tc>
      </w:tr>
    </w:tbl>
    <w:p>
      <w:pPr>
        <w:pStyle w:val="style2"/>
        <w:numPr>
          <w:ilvl w:val="0"/>
          <w:numId w:val="0"/>
        </w:numPr>
        <w:ind w:left="288"/>
        <w:rPr>
          <w:i w:val="false"/>
          <w:iCs w:val="false"/>
          <w:noProof w:val="false"/>
          <w:spacing w:val="-1"/>
        </w:rPr>
      </w:pPr>
      <w:r>
        <w:rPr>
          <w:i w:val="false"/>
          <w:iCs w:val="false"/>
          <w:noProof w:val="false"/>
          <w:spacing w:val="-1"/>
        </w:rPr>
        <w:t>Table I. Object Detection Performance Metrics</w:t>
      </w:r>
    </w:p>
    <w:p>
      <w:pPr>
        <w:pStyle w:val="style2"/>
        <w:rPr/>
      </w:pPr>
      <w:r>
        <w:t>Ablation Study</w:t>
      </w:r>
    </w:p>
    <w:p>
      <w:pPr>
        <w:pStyle w:val="style0"/>
        <w:spacing w:before="100" w:beforeAutospacing="true" w:after="100" w:afterAutospacing="true"/>
        <w:jc w:val="left"/>
        <w:rPr>
          <w:spacing w:val="-1"/>
        </w:rPr>
      </w:pPr>
      <w:r>
        <w:rPr>
          <w:spacing w:val="-1"/>
        </w:rPr>
        <w:t>We conducted ablation experiments to evaluate the individual and combined effects of hygiene-specific data augmentation and our custom hygiene inference logic on the overall performance of the vision system. In these experiments, we systematically disabled or modified specific components of the training pipeline to isolate their contributions. First, we assessed model performance using only standard augmentation techniques such as random cropping, flipping, and brightness adjustments. Then, we introduced hygiene-specific augmentations like synthetic placement of trash items and floor stains to simulate varying cleanliness conditions more accurately. The inclusion of these targeted augmentations resulted in notable improvements in detection accuracy and generalization, particularly for rare but critical classes such as tissue and sanitary bins. Additionally, we evaluated the system with and without the hygiene inference module, which computes a cleanliness score based on object presence, spatial relationships, and threshold logic. Our findings show that incorporating both hygiene-specific augmentation and the inference mechanism led to higher precision and a more stable hygiene score, affirming the significance of these components in building a reliable and context-aware restroom monitoring system.</w:t>
      </w:r>
      <w:r>
        <w:rPr>
          <w:spacing w:val="-1"/>
        </w:rPr>
        <w:t>:</w:t>
      </w:r>
    </w:p>
    <w:p>
      <w:pPr>
        <w:pStyle w:val="style6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1"/>
        <w:gridCol w:w="1303"/>
        <w:gridCol w:w="1414"/>
      </w:tblGrid>
      <w:tr>
        <w:trPr>
          <w:tblHeader/>
          <w:tblCellSpacing w:w="15" w:type="dxa"/>
        </w:trPr>
        <w:tc>
          <w:tcPr>
            <w:tcW w:w="0" w:type="auto"/>
            <w:tcBorders/>
            <w:vAlign w:val="center"/>
            <w:hideMark/>
          </w:tcPr>
          <w:p>
            <w:pPr>
              <w:pStyle w:val="style66"/>
              <w:rPr>
                <w:b/>
                <w:bCs/>
                <w:lang w:val="en-IN"/>
              </w:rPr>
            </w:pPr>
            <w:r>
              <w:rPr>
                <w:b/>
                <w:bCs/>
                <w:lang w:val="en-IN"/>
              </w:rPr>
              <w:t>Model Variant</w:t>
            </w:r>
          </w:p>
        </w:tc>
        <w:tc>
          <w:tcPr>
            <w:tcW w:w="1303" w:type="dxa"/>
            <w:tcBorders/>
            <w:vAlign w:val="center"/>
            <w:hideMark/>
          </w:tcPr>
          <w:p>
            <w:pPr>
              <w:pStyle w:val="style66"/>
              <w:rPr>
                <w:b/>
                <w:bCs/>
                <w:lang w:val="en-IN"/>
              </w:rPr>
            </w:pPr>
            <w:r>
              <w:rPr>
                <w:b/>
                <w:bCs/>
                <w:lang w:val="en-IN"/>
              </w:rPr>
              <w:t>mAP@0.5</w:t>
            </w:r>
          </w:p>
        </w:tc>
        <w:tc>
          <w:tcPr>
            <w:tcW w:w="1414" w:type="dxa"/>
            <w:tcBorders/>
            <w:vAlign w:val="center"/>
            <w:hideMark/>
          </w:tcPr>
          <w:p>
            <w:pPr>
              <w:pStyle w:val="style66"/>
              <w:ind w:firstLine="0"/>
              <w:jc w:val="center"/>
              <w:rPr>
                <w:b/>
                <w:bCs/>
                <w:lang w:val="en-IN"/>
              </w:rPr>
            </w:pPr>
            <w:r>
              <w:rPr>
                <w:b/>
                <w:bCs/>
                <w:lang w:val="en-IN"/>
              </w:rPr>
              <w:t>Hygiene Accuracy</w:t>
            </w:r>
          </w:p>
        </w:tc>
      </w:tr>
      <w:tr>
        <w:tblPrEx/>
        <w:trPr>
          <w:tblCellSpacing w:w="15" w:type="dxa"/>
        </w:trPr>
        <w:tc>
          <w:tcPr>
            <w:tcW w:w="0" w:type="auto"/>
            <w:tcBorders/>
            <w:vAlign w:val="center"/>
            <w:hideMark/>
          </w:tcPr>
          <w:p>
            <w:pPr>
              <w:pStyle w:val="style66"/>
              <w:rPr>
                <w:lang w:val="en-IN"/>
              </w:rPr>
            </w:pPr>
            <w:r>
              <w:rPr>
                <w:lang w:val="en-IN"/>
              </w:rPr>
              <w:t>YOLOv8 (vanilla)</w:t>
            </w:r>
          </w:p>
        </w:tc>
        <w:tc>
          <w:tcPr>
            <w:tcW w:w="1303" w:type="dxa"/>
            <w:tcBorders/>
            <w:vAlign w:val="center"/>
            <w:hideMark/>
          </w:tcPr>
          <w:p>
            <w:pPr>
              <w:pStyle w:val="style66"/>
              <w:rPr>
                <w:lang w:val="en-IN"/>
              </w:rPr>
            </w:pPr>
            <w:r>
              <w:rPr>
                <w:lang w:val="en-IN"/>
              </w:rPr>
              <w:t>0.79</w:t>
            </w:r>
          </w:p>
        </w:tc>
        <w:tc>
          <w:tcPr>
            <w:tcW w:w="1414" w:type="dxa"/>
            <w:tcBorders/>
            <w:vAlign w:val="center"/>
            <w:hideMark/>
          </w:tcPr>
          <w:p>
            <w:pPr>
              <w:pStyle w:val="style66"/>
              <w:rPr>
                <w:lang w:val="en-IN"/>
              </w:rPr>
            </w:pPr>
            <w:r>
              <w:rPr>
                <w:lang w:val="en-IN"/>
              </w:rPr>
              <w:t>70.2%</w:t>
            </w:r>
          </w:p>
        </w:tc>
      </w:tr>
      <w:tr>
        <w:tblPrEx/>
        <w:trPr>
          <w:tblCellSpacing w:w="15" w:type="dxa"/>
        </w:trPr>
        <w:tc>
          <w:tcPr>
            <w:tcW w:w="0" w:type="auto"/>
            <w:tcBorders/>
            <w:vAlign w:val="center"/>
            <w:hideMark/>
          </w:tcPr>
          <w:p>
            <w:pPr>
              <w:pStyle w:val="style66"/>
              <w:ind w:firstLine="0"/>
              <w:rPr>
                <w:lang w:val="en-IN"/>
              </w:rPr>
            </w:pPr>
            <w:r>
              <w:rPr>
                <w:lang w:val="en-IN"/>
              </w:rPr>
              <w:t xml:space="preserve"> </w:t>
            </w:r>
            <w:r>
              <w:rPr>
                <w:lang w:val="en-IN"/>
              </w:rPr>
              <w:t>Custom Annotations</w:t>
            </w:r>
          </w:p>
        </w:tc>
        <w:tc>
          <w:tcPr>
            <w:tcW w:w="1303" w:type="dxa"/>
            <w:tcBorders/>
            <w:vAlign w:val="center"/>
            <w:hideMark/>
          </w:tcPr>
          <w:p>
            <w:pPr>
              <w:pStyle w:val="style66"/>
              <w:rPr>
                <w:lang w:val="en-IN"/>
              </w:rPr>
            </w:pPr>
            <w:r>
              <w:rPr>
                <w:lang w:val="en-IN"/>
              </w:rPr>
              <w:t>0.81</w:t>
            </w:r>
          </w:p>
        </w:tc>
        <w:tc>
          <w:tcPr>
            <w:tcW w:w="1414" w:type="dxa"/>
            <w:tcBorders/>
            <w:vAlign w:val="center"/>
            <w:hideMark/>
          </w:tcPr>
          <w:p>
            <w:pPr>
              <w:pStyle w:val="style66"/>
              <w:rPr>
                <w:lang w:val="en-IN"/>
              </w:rPr>
            </w:pPr>
            <w:r>
              <w:rPr>
                <w:lang w:val="en-IN"/>
              </w:rPr>
              <w:t>78.4%</w:t>
            </w:r>
          </w:p>
        </w:tc>
      </w:tr>
      <w:tr>
        <w:tblPrEx/>
        <w:trPr>
          <w:tblCellSpacing w:w="15" w:type="dxa"/>
        </w:trPr>
        <w:tc>
          <w:tcPr>
            <w:tcW w:w="0" w:type="auto"/>
            <w:tcBorders/>
            <w:vAlign w:val="center"/>
            <w:hideMark/>
          </w:tcPr>
          <w:p>
            <w:pPr>
              <w:pStyle w:val="style66"/>
              <w:ind w:firstLine="0"/>
              <w:rPr>
                <w:lang w:val="en-IN"/>
              </w:rPr>
            </w:pPr>
            <w:r>
              <w:rPr>
                <w:lang w:val="en-IN"/>
              </w:rPr>
              <w:t xml:space="preserve">   </w:t>
            </w:r>
            <w:r>
              <w:rPr>
                <w:lang w:val="en-IN"/>
              </w:rPr>
              <w:t>Inference Logic</w:t>
            </w:r>
          </w:p>
        </w:tc>
        <w:tc>
          <w:tcPr>
            <w:tcW w:w="1303" w:type="dxa"/>
            <w:tcBorders/>
            <w:vAlign w:val="center"/>
            <w:hideMark/>
          </w:tcPr>
          <w:p>
            <w:pPr>
              <w:pStyle w:val="style66"/>
              <w:rPr>
                <w:lang w:val="en-IN"/>
              </w:rPr>
            </w:pPr>
            <w:r>
              <w:rPr>
                <w:lang w:val="en-IN"/>
              </w:rPr>
              <w:t>0.81</w:t>
            </w:r>
          </w:p>
        </w:tc>
        <w:tc>
          <w:tcPr>
            <w:tcW w:w="1414" w:type="dxa"/>
            <w:tcBorders/>
            <w:vAlign w:val="center"/>
            <w:hideMark/>
          </w:tcPr>
          <w:p>
            <w:pPr>
              <w:pStyle w:val="style66"/>
              <w:rPr>
                <w:lang w:val="en-IN"/>
              </w:rPr>
            </w:pPr>
            <w:r>
              <w:rPr>
                <w:lang w:val="en-IN"/>
              </w:rPr>
              <w:t>84.5%</w:t>
            </w:r>
          </w:p>
        </w:tc>
      </w:tr>
    </w:tbl>
    <w:p>
      <w:pPr>
        <w:pStyle w:val="style66"/>
        <w:rPr>
          <w:i/>
          <w:iCs/>
          <w:lang w:val="en-IN"/>
        </w:rPr>
      </w:pPr>
      <w:r>
        <w:rPr>
          <w:i/>
          <w:iCs/>
          <w:lang w:val="en-IN"/>
        </w:rPr>
        <w:t>Table II. Ablation Study Results</w:t>
      </w:r>
    </w:p>
    <w:p>
      <w:pPr>
        <w:pStyle w:val="style2"/>
        <w:rPr/>
      </w:pPr>
      <w:r>
        <w:t>Real World Feasibility</w:t>
      </w:r>
    </w:p>
    <w:p>
      <w:pPr>
        <w:pStyle w:val="style5"/>
        <w:jc w:val="both"/>
        <w:rPr>
          <w:smallCaps w:val="false"/>
          <w:noProof w:val="false"/>
          <w:spacing w:val="-1"/>
        </w:rPr>
      </w:pPr>
      <w:r>
        <w:rPr>
          <w:smallCaps w:val="false"/>
          <w:noProof w:val="false"/>
          <w:spacing w:val="-1"/>
        </w:rPr>
        <w:t>Real-time inference was tested on an NVIDIA Jetson Nano. While YOLOv8n achieved only 12 FPS, it was sufficient for low-frequency monitoring (~1 frame/sec). Cloud-based offloading improves scalability in large buildings</w:t>
      </w:r>
      <w:r>
        <w:rPr>
          <w:smallCaps w:val="false"/>
          <w:noProof w:val="false"/>
          <w:spacing w:val="-1"/>
        </w:rPr>
        <w:t>.</w:t>
      </w:r>
    </w:p>
    <w:p>
      <w:pPr>
        <w:pStyle w:val="style1"/>
        <w:rPr/>
      </w:pPr>
      <w:r>
        <w:t>Discussion</w:t>
      </w:r>
    </w:p>
    <w:p>
      <w:pPr>
        <w:pStyle w:val="style0"/>
        <w:jc w:val="both"/>
        <w:rPr>
          <w:spacing w:val="-1"/>
        </w:rPr>
      </w:pPr>
      <w:r>
        <w:rPr>
          <w:spacing w:val="-1"/>
        </w:rPr>
        <w:t>The proposed vision-based hygiene monitoring system demonstrates strong performance in detecting cleanliness-related anomalies in restroom environments. With an mAP@0.5 of 0.81 and hygiene inference accuracy above 84%, our approach shows promise for practical deployment in public facilities.</w:t>
      </w:r>
    </w:p>
    <w:p>
      <w:pPr>
        <w:pStyle w:val="style0"/>
        <w:ind w:left="216"/>
        <w:jc w:val="both"/>
        <w:rPr>
          <w:spacing w:val="-1"/>
        </w:rPr>
      </w:pPr>
      <w:r>
        <w:rPr>
          <w:spacing w:val="-1"/>
        </w:rPr>
        <w:t>A. System Robustness</w:t>
      </w:r>
    </w:p>
    <w:p>
      <w:pPr>
        <w:pStyle w:val="style0"/>
        <w:jc w:val="both"/>
        <w:rPr>
          <w:spacing w:val="-1"/>
        </w:rPr>
      </w:pPr>
      <w:r>
        <w:rPr>
          <w:spacing w:val="-1"/>
        </w:rPr>
        <w:t>The model generalizes well across various restroom layouts, lighting conditions, and object orientations due to data augmentation and diverse samples in the COB dataset. However, performance degrades slightly in occluded scenes or when object visibility is low. Misclassifications typically occur with ambiguous stains or partially visible trash.</w:t>
      </w:r>
    </w:p>
    <w:p>
      <w:pPr>
        <w:pStyle w:val="style0"/>
        <w:ind w:left="216"/>
        <w:jc w:val="both"/>
        <w:rPr>
          <w:spacing w:val="-1"/>
        </w:rPr>
      </w:pPr>
      <w:r>
        <w:rPr>
          <w:spacing w:val="-1"/>
        </w:rPr>
        <w:t>B. Dataset Limitations</w:t>
      </w:r>
    </w:p>
    <w:p>
      <w:pPr>
        <w:pStyle w:val="style0"/>
        <w:jc w:val="both"/>
        <w:rPr>
          <w:spacing w:val="-1"/>
        </w:rPr>
      </w:pPr>
      <w:r>
        <w:rPr>
          <w:spacing w:val="-1"/>
        </w:rPr>
        <w:t>While the COB dataset is valuable for modeling bathroom environments, it lacks temporal continuity and explicit cleanliness labels in its original form. Our manually annotated subset mitigates this, but a more comprehensive hygiene-labeled dataset would improve system accuracy. Additionally, the dataset is primarily based on domestic-style restrooms, which may limit generalization to high-traffic public facilities unless domain adaptation is applied.</w:t>
      </w:r>
    </w:p>
    <w:p>
      <w:pPr>
        <w:pStyle w:val="style0"/>
        <w:ind w:left="216"/>
        <w:jc w:val="both"/>
        <w:rPr>
          <w:spacing w:val="-1"/>
        </w:rPr>
      </w:pPr>
      <w:r>
        <w:rPr>
          <w:spacing w:val="-1"/>
        </w:rPr>
        <w:t>C. Privacy and Ethical Considerations</w:t>
      </w:r>
    </w:p>
    <w:p>
      <w:pPr>
        <w:pStyle w:val="style0"/>
        <w:jc w:val="both"/>
        <w:rPr>
          <w:spacing w:val="-1"/>
        </w:rPr>
      </w:pPr>
      <w:r>
        <w:rPr>
          <w:spacing w:val="-1"/>
        </w:rPr>
        <w:t>Deploying vision systems in restrooms introduces significant privacy concerns. To address this, our proposed system focuses on ceiling-mounted, object-focused cameras that avoid direct human subject detection. Furthermore, edge processing ensures data is not transmitted externally unless hygiene thresholds are breached. Nonetheless, rigorous compliance with privacy laws (e.g., GDPR) and transparent policy communication are essential for real-world deployments.</w:t>
      </w:r>
    </w:p>
    <w:p>
      <w:pPr>
        <w:pStyle w:val="style0"/>
        <w:ind w:left="216"/>
        <w:jc w:val="both"/>
        <w:rPr>
          <w:spacing w:val="-1"/>
        </w:rPr>
      </w:pPr>
      <w:r>
        <w:rPr>
          <w:spacing w:val="-1"/>
        </w:rPr>
        <w:t>D. Real-World Feasibility</w:t>
      </w:r>
    </w:p>
    <w:p>
      <w:pPr>
        <w:pStyle w:val="style0"/>
        <w:jc w:val="both"/>
        <w:rPr>
          <w:spacing w:val="-1"/>
        </w:rPr>
      </w:pPr>
      <w:r>
        <w:rPr>
          <w:spacing w:val="-1"/>
        </w:rPr>
        <w:t>The system is scalable and hardware-agnostic, supporting deployment on edge devices, embedded GPUs, or cloud systems. Facility managers can use the hygiene scores for scheduling cleaning staff or generating compliance reports. Integration with facility management dashboards further extends the utility.</w:t>
      </w:r>
    </w:p>
    <w:p>
      <w:pPr>
        <w:pStyle w:val="style1"/>
        <w:rPr/>
      </w:pPr>
      <w:r>
        <w:t>Conclusion and Future Work</w:t>
      </w:r>
    </w:p>
    <w:p>
      <w:pPr>
        <w:pStyle w:val="style0"/>
        <w:jc w:val="both"/>
        <w:rPr>
          <w:spacing w:val="-1"/>
        </w:rPr>
      </w:pPr>
      <w:r>
        <w:rPr>
          <w:spacing w:val="-1"/>
        </w:rPr>
        <w:t>This paper presented a deep learning-powered computer vision system for monitoring public hygiene in restrooms using the Common Objects in Bathroom (COB) dataset. Leveraging YOLOv8 for object detection and a custom hygiene inference engine, our system effectively identifies cleanliness-related indicators in restroom scenes and quantifies hygiene levels.</w:t>
      </w:r>
    </w:p>
    <w:p>
      <w:pPr>
        <w:pStyle w:val="style0"/>
        <w:jc w:val="both"/>
        <w:rPr>
          <w:spacing w:val="-1"/>
        </w:rPr>
      </w:pPr>
      <w:r>
        <w:rPr>
          <w:spacing w:val="-1"/>
        </w:rPr>
        <w:t>The system achieved high performance across precision, recall, and mAP metrics, and demonstrated real-time feasibility on both high-end GPUs and embedded devices. Our hygiene inference logic, combined with custom annotations on the COB dataset, enables actionable cleanliness scoring with potential use in smart infrastructure and facility automation.</w:t>
      </w:r>
    </w:p>
    <w:p>
      <w:pPr>
        <w:pStyle w:val="style0"/>
        <w:jc w:val="both"/>
        <w:rPr>
          <w:spacing w:val="-1"/>
        </w:rPr>
      </w:pPr>
      <w:r>
        <w:rPr>
          <w:spacing w:val="-1"/>
        </w:rPr>
        <w:t>Future Directions:</w:t>
      </w:r>
    </w:p>
    <w:p>
      <w:pPr>
        <w:pStyle w:val="style0"/>
        <w:numPr>
          <w:ilvl w:val="0"/>
          <w:numId w:val="36"/>
        </w:numPr>
        <w:jc w:val="both"/>
        <w:rPr>
          <w:spacing w:val="-1"/>
        </w:rPr>
      </w:pPr>
      <w:r>
        <w:rPr>
          <w:spacing w:val="-1"/>
        </w:rPr>
        <w:t>Temporal Modeling: Introduce time-series tracking to detect prolonged cleanliness issues.</w:t>
      </w:r>
    </w:p>
    <w:p>
      <w:pPr>
        <w:pStyle w:val="style0"/>
        <w:numPr>
          <w:ilvl w:val="0"/>
          <w:numId w:val="36"/>
        </w:numPr>
        <w:jc w:val="both"/>
        <w:rPr>
          <w:spacing w:val="-1"/>
        </w:rPr>
      </w:pPr>
      <w:r>
        <w:rPr>
          <w:spacing w:val="-1"/>
        </w:rPr>
        <w:t>Dataset Expansion: Curate a large-scale hygiene-specific dataset with diverse public restroom environments and cleanliness annotations.</w:t>
      </w:r>
    </w:p>
    <w:p>
      <w:pPr>
        <w:pStyle w:val="style0"/>
        <w:numPr>
          <w:ilvl w:val="0"/>
          <w:numId w:val="36"/>
        </w:numPr>
        <w:jc w:val="both"/>
        <w:rPr>
          <w:spacing w:val="-1"/>
        </w:rPr>
      </w:pPr>
      <w:r>
        <w:rPr>
          <w:spacing w:val="-1"/>
        </w:rPr>
        <w:t>Cross-Domain Transfer: Fine-tune models for restrooms in schools, airports, and hospitals using domain adaptation techniques.</w:t>
      </w:r>
    </w:p>
    <w:p>
      <w:pPr>
        <w:pStyle w:val="style0"/>
        <w:numPr>
          <w:ilvl w:val="0"/>
          <w:numId w:val="36"/>
        </w:numPr>
        <w:jc w:val="both"/>
        <w:rPr>
          <w:spacing w:val="-1"/>
        </w:rPr>
      </w:pPr>
      <w:r>
        <w:rPr>
          <w:spacing w:val="-1"/>
        </w:rPr>
        <w:t>Multimodal Fusion: Combine vision data with IoT sensors (e.g., ammonia detectors, footfall counters) for robust hygiene assessments.</w:t>
      </w:r>
    </w:p>
    <w:p>
      <w:pPr>
        <w:pStyle w:val="style0"/>
        <w:numPr>
          <w:ilvl w:val="0"/>
          <w:numId w:val="36"/>
        </w:numPr>
        <w:jc w:val="both"/>
        <w:rPr>
          <w:spacing w:val="-1"/>
        </w:rPr>
      </w:pPr>
      <w:r>
        <w:rPr>
          <w:spacing w:val="-1"/>
        </w:rPr>
        <w:t>Anomaly Detection: Integrate unsupervised learning to detect novel sanitation hazards beyond predefined object classes.</w:t>
      </w:r>
    </w:p>
    <w:p>
      <w:pPr>
        <w:pStyle w:val="style0"/>
        <w:jc w:val="both"/>
        <w:rPr>
          <w:spacing w:val="-1"/>
        </w:rPr>
      </w:pPr>
      <w:r>
        <w:rPr>
          <w:spacing w:val="-1"/>
        </w:rPr>
        <w:t>By advancing vision-based hygiene monitoring, this research contributes to smarter, safer, and more responsive urban public spaces.</w:t>
      </w:r>
    </w:p>
    <w:p>
      <w:pPr>
        <w:pStyle w:val="style0"/>
        <w:rPr/>
      </w:pPr>
    </w:p>
    <w:p>
      <w:pPr>
        <w:pStyle w:val="style5"/>
        <w:rPr/>
      </w:pPr>
      <w:r>
        <w:t>References</w:t>
      </w:r>
    </w:p>
    <w:p>
      <w:pPr>
        <w:pStyle w:val="style0"/>
        <w:rPr/>
      </w:pPr>
    </w:p>
    <w:p>
      <w:pPr>
        <w:pStyle w:val="style4107"/>
        <w:ind w:left="354"/>
        <w:rPr>
          <w:lang w:val="en-IN"/>
        </w:rPr>
      </w:pPr>
      <w:r>
        <w:rPr>
          <w:lang w:val="en-IN"/>
        </w:rPr>
        <w:t xml:space="preserve">[1] R. J. Smith, “IoT-based Sanitation Monitoring in Smart Cities,” </w:t>
      </w:r>
      <w:r>
        <w:rPr>
          <w:i/>
          <w:iCs/>
          <w:lang w:val="en-IN"/>
        </w:rPr>
        <w:t>IEEE Internet of Things Journal</w:t>
      </w:r>
      <w:r>
        <w:rPr>
          <w:lang w:val="en-IN"/>
        </w:rPr>
        <w:t>, vol. 6, no. 5, pp. 8392–8399, Oct. 2019.</w:t>
      </w:r>
    </w:p>
    <w:p>
      <w:pPr>
        <w:pStyle w:val="style4107"/>
        <w:ind w:left="354"/>
        <w:rPr>
          <w:lang w:val="en-IN"/>
        </w:rPr>
      </w:pPr>
      <w:r>
        <w:rPr>
          <w:lang w:val="en-IN"/>
        </w:rPr>
        <w:t xml:space="preserve">[2] A. Ghosh et al., “Scene Cleanliness Estimation Using Deep Semantic Segmentation,” in </w:t>
      </w:r>
      <w:r>
        <w:rPr>
          <w:i/>
          <w:iCs/>
          <w:lang w:val="en-IN"/>
        </w:rPr>
        <w:t>Proc. CVPR Workshops</w:t>
      </w:r>
      <w:r>
        <w:rPr>
          <w:lang w:val="en-IN"/>
        </w:rPr>
        <w:t>, 2020, pp. 234–239.</w:t>
      </w:r>
    </w:p>
    <w:p>
      <w:pPr>
        <w:pStyle w:val="style4107"/>
        <w:ind w:left="354"/>
        <w:rPr>
          <w:lang w:val="en-IN"/>
        </w:rPr>
      </w:pPr>
      <w:r>
        <w:rPr>
          <w:lang w:val="en-IN"/>
        </w:rPr>
        <w:t xml:space="preserve">[3] L. Wang and M. Qian, “Hospital Cleanliness Auditing Using Deep Learning,” </w:t>
      </w:r>
      <w:r>
        <w:rPr>
          <w:i/>
          <w:iCs/>
          <w:lang w:val="en-IN"/>
        </w:rPr>
        <w:t>IEEE Access</w:t>
      </w:r>
      <w:r>
        <w:rPr>
          <w:lang w:val="en-IN"/>
        </w:rPr>
        <w:t>, vol. 8, pp. 117564–117572, 2020.</w:t>
      </w:r>
    </w:p>
    <w:p>
      <w:pPr>
        <w:pStyle w:val="style4107"/>
        <w:ind w:left="354"/>
        <w:rPr>
          <w:lang w:val="en-IN"/>
        </w:rPr>
      </w:pPr>
      <w:r>
        <w:rPr>
          <w:lang w:val="en-IN"/>
        </w:rPr>
        <w:t xml:space="preserve">[4] S. Nguyen and K. Hara, “Visual Cleanliness Detection in Kitchen Environments,” in </w:t>
      </w:r>
      <w:r>
        <w:rPr>
          <w:i/>
          <w:iCs/>
          <w:lang w:val="en-IN"/>
        </w:rPr>
        <w:t>ACM IUI</w:t>
      </w:r>
      <w:r>
        <w:rPr>
          <w:lang w:val="en-IN"/>
        </w:rPr>
        <w:t>, 2021, pp. 215–222.</w:t>
      </w:r>
    </w:p>
    <w:p>
      <w:pPr>
        <w:pStyle w:val="style4107"/>
        <w:ind w:left="354"/>
        <w:rPr>
          <w:lang w:val="en-IN"/>
        </w:rPr>
      </w:pPr>
      <w:r>
        <w:rPr>
          <w:lang w:val="en-IN"/>
        </w:rPr>
        <w:t xml:space="preserve">[5] A. K. Mishra et al., “The COB Dataset: A Common Objects in Bathroom Dataset for Visual Recognition Tasks,” </w:t>
      </w:r>
      <w:r>
        <w:rPr>
          <w:i/>
          <w:iCs/>
          <w:lang w:val="en-IN"/>
        </w:rPr>
        <w:t>arXiv preprint arXiv:2301.06542</w:t>
      </w:r>
      <w:r>
        <w:rPr>
          <w:lang w:val="en-IN"/>
        </w:rPr>
        <w:t>, 2023.</w:t>
      </w:r>
    </w:p>
    <w:p>
      <w:pPr>
        <w:pStyle w:val="style4107"/>
        <w:ind w:left="354"/>
        <w:rPr>
          <w:lang w:val="en-IN"/>
        </w:rPr>
      </w:pPr>
      <w:r>
        <w:rPr>
          <w:lang w:val="en-IN"/>
        </w:rPr>
        <w:t xml:space="preserve">[6] J. Patel and S. Roy, “Vision-Based Restroom Cleanliness Monitoring Using Public Datasets,” in </w:t>
      </w:r>
      <w:r>
        <w:rPr>
          <w:i/>
          <w:iCs/>
          <w:lang w:val="en-IN"/>
        </w:rPr>
        <w:t>Proc. IEEE ICCV Workshops</w:t>
      </w:r>
      <w:r>
        <w:rPr>
          <w:lang w:val="en-IN"/>
        </w:rPr>
        <w:t>, 2022.</w:t>
      </w:r>
    </w:p>
    <w:p>
      <w:pPr>
        <w:pStyle w:val="style4107"/>
        <w:ind w:left="354"/>
        <w:rPr>
          <w:lang w:val="en-IN"/>
        </w:rPr>
      </w:pPr>
      <w:r>
        <w:rPr>
          <w:lang w:val="en-IN"/>
        </w:rPr>
        <w:t xml:space="preserve">[7] G. Jocher et al., “YOLO by Ultralytics,” [Online]. Available: </w:t>
      </w:r>
      <w:r>
        <w:rPr/>
        <w:fldChar w:fldCharType="begin"/>
      </w:r>
      <w:r>
        <w:instrText xml:space="preserve"> HYPERLINK "https://github.com/ultralytics/yolov8" \t "_new" </w:instrText>
      </w:r>
      <w:r>
        <w:rPr/>
        <w:fldChar w:fldCharType="separate"/>
      </w:r>
      <w:r>
        <w:rPr>
          <w:rStyle w:val="style85"/>
          <w:lang w:val="en-IN"/>
        </w:rPr>
        <w:t>https://github.com/ultralytics/yolov8</w:t>
      </w:r>
      <w:r>
        <w:rPr/>
        <w:fldChar w:fldCharType="end"/>
      </w:r>
      <w:r>
        <w:rPr>
          <w:lang w:val="en-IN"/>
        </w:rPr>
        <w:t>.</w:t>
      </w:r>
    </w:p>
    <w:p>
      <w:pPr>
        <w:pStyle w:val="style4107"/>
        <w:ind w:left="354"/>
        <w:rPr>
          <w:lang w:val="en-IN"/>
        </w:rPr>
      </w:pPr>
      <w:r>
        <w:rPr>
          <w:lang w:val="en-IN"/>
        </w:rPr>
        <w:t xml:space="preserve">[8] Z. Chen et al., “Object-Centric Cleanliness Assessment for Service Robots,” in </w:t>
      </w:r>
      <w:r>
        <w:rPr>
          <w:i/>
          <w:iCs/>
          <w:lang w:val="en-IN"/>
        </w:rPr>
        <w:t>IEEE/RSJ IROS</w:t>
      </w:r>
      <w:r>
        <w:rPr>
          <w:lang w:val="en-IN"/>
        </w:rPr>
        <w:t>, 2020, pp. 4025–4032.</w:t>
      </w:r>
    </w:p>
    <w:p>
      <w:pPr>
        <w:pStyle w:val="style4107"/>
        <w:numPr>
          <w:ilvl w:val="0"/>
          <w:numId w:val="0"/>
        </w:numPr>
        <w:ind w:left="354"/>
        <w:rPr/>
      </w:pPr>
    </w:p>
    <w:p>
      <w:pPr>
        <w:pStyle w:val="style4107"/>
        <w:numPr>
          <w:ilvl w:val="0"/>
          <w:numId w:val="0"/>
        </w:numPr>
        <w:ind w:left="360" w:hanging="360"/>
        <w:rPr/>
      </w:pPr>
    </w:p>
    <w:p>
      <w:pPr>
        <w:pStyle w:val="style4107"/>
        <w:numPr>
          <w:ilvl w:val="0"/>
          <w:numId w:val="0"/>
        </w:numPr>
        <w:spacing w:lineRule="auto" w:line="240"/>
        <w:ind w:left="360" w:hanging="360"/>
        <w:rPr>
          <w:rFonts w:eastAsia="SimSun"/>
          <w:b/>
          <w:noProof w:val="false"/>
          <w:color w:val="ff0000"/>
          <w:spacing w:val="-1"/>
          <w:sz w:val="20"/>
          <w:szCs w:val="20"/>
        </w:rPr>
        <w:sectPr>
          <w:type w:val="continuous"/>
          <w:pgSz w:w="11906" w:h="16838" w:orient="portrait" w:code="9"/>
          <w:pgMar w:top="1080" w:right="907" w:bottom="1440" w:left="907" w:header="720" w:footer="720" w:gutter="0"/>
          <w:cols w:space="360" w:num="2"/>
          <w:docGrid w:linePitch="360"/>
        </w:sectPr>
      </w:pPr>
    </w:p>
    <w:p>
      <w:pPr>
        <w:pStyle w:val="style0"/>
        <w:rPr/>
      </w:pPr>
    </w:p>
    <w:sectPr>
      <w:type w:val="continuous"/>
      <w:pgSz w:w="11906" w:h="16838" w:orient="portrait" w:code="9"/>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0"/>
    <w:family w:val="roman"/>
    <w:pitch w:val="variable"/>
    <w:sig w:usb0="00000000" w:usb1="10000000" w:usb2="00000000" w:usb3="00000000" w:csb0="80000000" w:csb1="00000000"/>
  </w:font>
  <w:font w:name="Times New Roman">
    <w:altName w:val="Times New Roman"/>
    <w:panose1 w:val="02020603050004020304"/>
    <w:charset w:val="01"/>
    <w:family w:val="roman"/>
    <w:pitch w:val="variable"/>
    <w:sig w:usb0="E0002EFF" w:usb1="C000785B" w:usb2="00000009" w:usb3="00000000" w:csb0="000001FF" w:csb1="00000000"/>
  </w:font>
  <w:font w:name="Courier New">
    <w:altName w:val="Courier New"/>
    <w:panose1 w:val="02070309020002020404"/>
    <w:charset w:val="01"/>
    <w:family w:val="modern"/>
    <w:pitch w:val="fixed"/>
    <w:sig w:usb0="E0002EFF" w:usb1="C0007843" w:usb2="00000009" w:usb3="00000000" w:csb0="000001FF" w:csb1="00000000"/>
  </w:font>
  <w:font w:name="Wingdings">
    <w:altName w:val="Wingdings"/>
    <w:panose1 w:val="05000000000000000000"/>
    <w:charset w:val="00"/>
    <w:family w:val="auto"/>
    <w:pitch w:val="variable"/>
    <w:sig w:usb0="00000000" w:usb1="10000000" w:usb2="00000000" w:usb3="00000000" w:csb0="80000000" w:csb1="00000000"/>
  </w:font>
  <w:font w:name="SimSun">
    <w:altName w:val="宋体"/>
    <w:panose1 w:val="02010600030001010101"/>
    <w:charset w:val="01"/>
    <w:family w:val="auto"/>
    <w:pitch w:val="variable"/>
    <w:sig w:usb0="00000203" w:usb1="288F0000" w:usb2="00000016" w:usb3="00000000" w:csb0="00040001" w:csb1="00000000"/>
  </w:font>
  <w:font w:name="MS Mincho">
    <w:altName w:val="ＭＳ 明朝"/>
    <w:panose1 w:val="02020609040002080304"/>
    <w:charset w:val="01"/>
    <w:family w:val="modern"/>
    <w:pitch w:val="fixed"/>
    <w:sig w:usb0="E00002FF" w:usb1="6AC7FDFB" w:usb2="08000012" w:usb3="00000000" w:csb0="0002009F" w:csb1="00000000"/>
  </w:font>
  <w:font w:name="Calibri Light">
    <w:altName w:val="Calibri Light"/>
    <w:panose1 w:val="020f0302020002030204"/>
    <w:charset w:val="01"/>
    <w:family w:val="swiss"/>
    <w:pitch w:val="variable"/>
    <w:sig w:usb0="E4002EFF" w:usb1="C000247B" w:usb2="00000009" w:usb3="00000000" w:csb0="000001FF" w:csb1="00000000"/>
  </w:font>
  <w:font w:name="Calibri">
    <w:altName w:val="Calibri"/>
    <w:panose1 w:val="020f0502020002030204"/>
    <w:charset w:val="01"/>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A36CE9E"/>
    <w:lvl w:ilvl="0">
      <w:start w:val="1"/>
      <w:numFmt w:val="bullet"/>
      <w:lvlText w:val=""/>
      <w:lvlJc w:val="left"/>
      <w:pPr>
        <w:tabs>
          <w:tab w:val="left" w:leader="none" w:pos="0"/>
        </w:tabs>
        <w:ind w:left="0" w:firstLine="0"/>
      </w:pPr>
      <w:rPr>
        <w:rFonts w:ascii="Symbol" w:hAnsi="Symbol" w:hint="default"/>
      </w:rPr>
    </w:lvl>
    <w:lvl w:ilvl="1">
      <w:start w:val="1"/>
      <w:numFmt w:val="bullet"/>
      <w:lvlText w:val=""/>
      <w:lvlJc w:val="left"/>
      <w:pPr>
        <w:tabs>
          <w:tab w:val="left" w:leader="none" w:pos="720"/>
        </w:tabs>
        <w:ind w:left="1080" w:hanging="360"/>
      </w:pPr>
      <w:rPr>
        <w:rFonts w:ascii="Symbol" w:hAnsi="Symbol" w:hint="default"/>
      </w:rPr>
    </w:lvl>
    <w:lvl w:ilvl="2">
      <w:start w:val="1"/>
      <w:numFmt w:val="bullet"/>
      <w:lvlText w:val="o"/>
      <w:lvlJc w:val="left"/>
      <w:pPr>
        <w:tabs>
          <w:tab w:val="left" w:leader="none" w:pos="1440"/>
        </w:tabs>
        <w:ind w:left="1800" w:hanging="360"/>
      </w:pPr>
      <w:rPr>
        <w:rFonts w:ascii="Courier New" w:cs="Courier New" w:hAnsi="Courier New" w:hint="default"/>
      </w:rPr>
    </w:lvl>
    <w:lvl w:ilvl="3">
      <w:start w:val="1"/>
      <w:numFmt w:val="bullet"/>
      <w:lvlText w:val=""/>
      <w:lvlJc w:val="left"/>
      <w:pPr>
        <w:tabs>
          <w:tab w:val="left" w:leader="none" w:pos="2160"/>
        </w:tabs>
        <w:ind w:left="2520" w:hanging="360"/>
      </w:pPr>
      <w:rPr>
        <w:rFonts w:ascii="Wingdings" w:hAnsi="Wingdings" w:hint="default"/>
      </w:rPr>
    </w:lvl>
    <w:lvl w:ilvl="4">
      <w:start w:val="1"/>
      <w:numFmt w:val="bullet"/>
      <w:lvlText w:val=""/>
      <w:lvlJc w:val="left"/>
      <w:pPr>
        <w:tabs>
          <w:tab w:val="left" w:leader="none" w:pos="2880"/>
        </w:tabs>
        <w:ind w:left="3240" w:hanging="360"/>
      </w:pPr>
      <w:rPr>
        <w:rFonts w:ascii="Wingdings" w:hAnsi="Wingdings" w:hint="default"/>
      </w:rPr>
    </w:lvl>
    <w:lvl w:ilvl="5">
      <w:start w:val="1"/>
      <w:numFmt w:val="bullet"/>
      <w:lvlText w:val=""/>
      <w:lvlJc w:val="left"/>
      <w:pPr>
        <w:tabs>
          <w:tab w:val="left" w:leader="none" w:pos="3600"/>
        </w:tabs>
        <w:ind w:left="3960" w:hanging="360"/>
      </w:pPr>
      <w:rPr>
        <w:rFonts w:ascii="Symbol" w:hAnsi="Symbol" w:hint="default"/>
      </w:rPr>
    </w:lvl>
    <w:lvl w:ilvl="6">
      <w:start w:val="1"/>
      <w:numFmt w:val="bullet"/>
      <w:lvlText w:val="o"/>
      <w:lvlJc w:val="left"/>
      <w:pPr>
        <w:tabs>
          <w:tab w:val="left" w:leader="none" w:pos="4320"/>
        </w:tabs>
        <w:ind w:left="4680" w:hanging="360"/>
      </w:pPr>
      <w:rPr>
        <w:rFonts w:ascii="Courier New" w:cs="Courier New" w:hAnsi="Courier New" w:hint="default"/>
      </w:rPr>
    </w:lvl>
    <w:lvl w:ilvl="7">
      <w:start w:val="1"/>
      <w:numFmt w:val="bullet"/>
      <w:lvlText w:val=""/>
      <w:lvlJc w:val="left"/>
      <w:pPr>
        <w:tabs>
          <w:tab w:val="left" w:leader="none" w:pos="5040"/>
        </w:tabs>
        <w:ind w:left="5400" w:hanging="360"/>
      </w:pPr>
      <w:rPr>
        <w:rFonts w:ascii="Wingdings" w:hAnsi="Wingdings" w:hint="default"/>
      </w:rPr>
    </w:lvl>
    <w:lvl w:ilvl="8">
      <w:start w:val="1"/>
      <w:numFmt w:val="bullet"/>
      <w:lvlText w:val=""/>
      <w:lvlJc w:val="left"/>
      <w:pPr>
        <w:tabs>
          <w:tab w:val="left" w:leader="none" w:pos="5760"/>
        </w:tabs>
        <w:ind w:left="6120" w:hanging="360"/>
      </w:pPr>
      <w:rPr>
        <w:rFonts w:ascii="Wingdings" w:hAnsi="Wingdings" w:hint="default"/>
      </w:rPr>
    </w:lvl>
  </w:abstractNum>
  <w:abstractNum w:abstractNumId="1">
    <w:nsid w:val="00000001"/>
    <w:multiLevelType w:val="singleLevel"/>
    <w:tmpl w:val="DD629BEE"/>
    <w:lvl w:ilvl="0">
      <w:start w:val="1"/>
      <w:numFmt w:val="decimal"/>
      <w:lvlText w:val="%1."/>
      <w:lvlJc w:val="left"/>
      <w:pPr>
        <w:tabs>
          <w:tab w:val="left" w:leader="none" w:pos="1492"/>
        </w:tabs>
        <w:ind w:left="1492" w:hanging="360"/>
      </w:pPr>
    </w:lvl>
  </w:abstractNum>
  <w:abstractNum w:abstractNumId="2">
    <w:nsid w:val="00000002"/>
    <w:multiLevelType w:val="singleLevel"/>
    <w:tmpl w:val="2648E1C4"/>
    <w:lvl w:ilvl="0">
      <w:start w:val="1"/>
      <w:numFmt w:val="decimal"/>
      <w:lvlText w:val="%1."/>
      <w:lvlJc w:val="left"/>
      <w:pPr>
        <w:tabs>
          <w:tab w:val="left" w:leader="none" w:pos="1209"/>
        </w:tabs>
        <w:ind w:left="1209" w:hanging="360"/>
      </w:pPr>
    </w:lvl>
  </w:abstractNum>
  <w:abstractNum w:abstractNumId="3">
    <w:nsid w:val="00000003"/>
    <w:multiLevelType w:val="singleLevel"/>
    <w:tmpl w:val="9D38DB54"/>
    <w:lvl w:ilvl="0">
      <w:start w:val="1"/>
      <w:numFmt w:val="decimal"/>
      <w:lvlText w:val="%1."/>
      <w:lvlJc w:val="left"/>
      <w:pPr>
        <w:tabs>
          <w:tab w:val="left" w:leader="none" w:pos="926"/>
        </w:tabs>
        <w:ind w:left="926" w:hanging="360"/>
      </w:pPr>
    </w:lvl>
  </w:abstractNum>
  <w:abstractNum w:abstractNumId="4">
    <w:nsid w:val="00000004"/>
    <w:multiLevelType w:val="singleLevel"/>
    <w:tmpl w:val="632C24E2"/>
    <w:lvl w:ilvl="0">
      <w:start w:val="1"/>
      <w:numFmt w:val="decimal"/>
      <w:lvlText w:val="%1."/>
      <w:lvlJc w:val="left"/>
      <w:pPr>
        <w:tabs>
          <w:tab w:val="left" w:leader="none" w:pos="643"/>
        </w:tabs>
        <w:ind w:left="643" w:hanging="360"/>
      </w:pPr>
    </w:lvl>
  </w:abstractNum>
  <w:abstractNum w:abstractNumId="5">
    <w:nsid w:val="00000005"/>
    <w:multiLevelType w:val="singleLevel"/>
    <w:tmpl w:val="82268A14"/>
    <w:lvl w:ilvl="0">
      <w:start w:val="1"/>
      <w:numFmt w:val="bullet"/>
      <w:lvlText w:val=""/>
      <w:lvlJc w:val="left"/>
      <w:pPr>
        <w:tabs>
          <w:tab w:val="left" w:leader="none" w:pos="1492"/>
        </w:tabs>
        <w:ind w:left="1492" w:hanging="360"/>
      </w:pPr>
      <w:rPr>
        <w:rFonts w:ascii="Symbol" w:hAnsi="Symbol" w:hint="default"/>
      </w:rPr>
    </w:lvl>
  </w:abstractNum>
  <w:abstractNum w:abstractNumId="6">
    <w:nsid w:val="00000006"/>
    <w:multiLevelType w:val="singleLevel"/>
    <w:tmpl w:val="8C0E77FE"/>
    <w:lvl w:ilvl="0">
      <w:start w:val="1"/>
      <w:numFmt w:val="bullet"/>
      <w:lvlText w:val=""/>
      <w:lvlJc w:val="left"/>
      <w:pPr>
        <w:tabs>
          <w:tab w:val="left" w:leader="none" w:pos="1209"/>
        </w:tabs>
        <w:ind w:left="1209" w:hanging="360"/>
      </w:pPr>
      <w:rPr>
        <w:rFonts w:ascii="Symbol" w:hAnsi="Symbol" w:hint="default"/>
      </w:rPr>
    </w:lvl>
  </w:abstractNum>
  <w:abstractNum w:abstractNumId="7">
    <w:nsid w:val="00000007"/>
    <w:multiLevelType w:val="singleLevel"/>
    <w:tmpl w:val="174639B8"/>
    <w:lvl w:ilvl="0">
      <w:start w:val="1"/>
      <w:numFmt w:val="bullet"/>
      <w:lvlText w:val=""/>
      <w:lvlJc w:val="left"/>
      <w:pPr>
        <w:tabs>
          <w:tab w:val="left" w:leader="none" w:pos="926"/>
        </w:tabs>
        <w:ind w:left="926" w:hanging="360"/>
      </w:pPr>
      <w:rPr>
        <w:rFonts w:ascii="Symbol" w:hAnsi="Symbol" w:hint="default"/>
      </w:rPr>
    </w:lvl>
  </w:abstractNum>
  <w:abstractNum w:abstractNumId="8">
    <w:nsid w:val="00000008"/>
    <w:multiLevelType w:val="singleLevel"/>
    <w:tmpl w:val="B1ACC408"/>
    <w:lvl w:ilvl="0">
      <w:start w:val="1"/>
      <w:numFmt w:val="bullet"/>
      <w:lvlText w:val=""/>
      <w:lvlJc w:val="left"/>
      <w:pPr>
        <w:tabs>
          <w:tab w:val="left" w:leader="none" w:pos="643"/>
        </w:tabs>
        <w:ind w:left="643" w:hanging="360"/>
      </w:pPr>
      <w:rPr>
        <w:rFonts w:ascii="Symbol" w:hAnsi="Symbol" w:hint="default"/>
      </w:rPr>
    </w:lvl>
  </w:abstractNum>
  <w:abstractNum w:abstractNumId="9">
    <w:nsid w:val="00000009"/>
    <w:multiLevelType w:val="singleLevel"/>
    <w:tmpl w:val="229E8DFE"/>
    <w:lvl w:ilvl="0">
      <w:start w:val="1"/>
      <w:numFmt w:val="decimal"/>
      <w:lvlText w:val="%1."/>
      <w:lvlJc w:val="left"/>
      <w:pPr>
        <w:tabs>
          <w:tab w:val="left" w:leader="none" w:pos="360"/>
        </w:tabs>
        <w:ind w:left="360" w:hanging="360"/>
      </w:pPr>
    </w:lvl>
  </w:abstractNum>
  <w:abstractNum w:abstractNumId="10">
    <w:nsid w:val="0000000A"/>
    <w:multiLevelType w:val="singleLevel"/>
    <w:tmpl w:val="EA847AFE"/>
    <w:lvl w:ilvl="0">
      <w:start w:val="1"/>
      <w:numFmt w:val="bullet"/>
      <w:lvlText w:val=""/>
      <w:lvlJc w:val="left"/>
      <w:pPr>
        <w:tabs>
          <w:tab w:val="left" w:leader="none" w:pos="360"/>
        </w:tabs>
        <w:ind w:left="360" w:hanging="360"/>
      </w:pPr>
      <w:rPr>
        <w:rFonts w:ascii="Symbol" w:hAnsi="Symbol" w:hint="default"/>
      </w:rPr>
    </w:lvl>
  </w:abstractNum>
  <w:abstractNum w:abstractNumId="11">
    <w:nsid w:val="0000000B"/>
    <w:multiLevelType w:val="multilevel"/>
    <w:tmpl w:val="CAD6F0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A6463BCE"/>
    <w:lvl w:ilvl="0" w:tplc="04140013">
      <w:start w:val="1"/>
      <w:numFmt w:val="upperRoman"/>
      <w:lvlText w:val="%1."/>
      <w:lvlJc w:val="lef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lef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lef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left"/>
      <w:pPr>
        <w:ind w:left="6696" w:hanging="180"/>
      </w:pPr>
    </w:lvl>
  </w:abstractNum>
  <w:abstractNum w:abstractNumId="13">
    <w:nsid w:val="0000000D"/>
    <w:multiLevelType w:val="hybridMultilevel"/>
    <w:tmpl w:val="CB0E7F4E"/>
    <w:lvl w:ilvl="0" w:tplc="E09099E0">
      <w:start w:val="1"/>
      <w:numFmt w:val="lowerLetter"/>
      <w:lvlText w:val="%1."/>
      <w:lvlJc w:val="left"/>
      <w:pPr>
        <w:tabs>
          <w:tab w:val="left" w:leader="none" w:pos="720"/>
        </w:tabs>
        <w:ind w:left="720" w:hanging="360"/>
      </w:pPr>
      <w:rPr>
        <w:rFonts w:cs="Times New Roman" w:hint="default"/>
        <w:i w:val="false"/>
        <w:iCs w:val="false"/>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14">
    <w:nsid w:val="0000000E"/>
    <w:multiLevelType w:val="hybridMultilevel"/>
    <w:tmpl w:val="C4740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33826962"/>
    <w:lvl w:ilvl="0" w:tplc="A2947960">
      <w:start w:val="1"/>
      <w:numFmt w:val="decimal"/>
      <w:pStyle w:val="style4104"/>
      <w:lvlText w:val="%1 "/>
      <w:lvlJc w:val="left"/>
      <w:pPr>
        <w:tabs>
          <w:tab w:val="left" w:leader="none" w:pos="648"/>
        </w:tabs>
        <w:ind w:firstLine="288"/>
      </w:pPr>
      <w:rPr>
        <w:rFonts w:ascii="Times New Roman" w:cs="Times New Roman" w:hAnsi="Times New Roman" w:hint="default"/>
        <w:b w:val="false"/>
        <w:bCs w:val="false"/>
        <w:i w:val="false"/>
        <w:iCs w:val="false"/>
        <w:caps w:val="false"/>
        <w:vanish w:val="false"/>
        <w:color w:val="000000"/>
        <w:sz w:val="16"/>
        <w:szCs w:val="16"/>
        <w:vertAlign w:val="superscript"/>
        <w14:shadow w14:blurRad="0" w14:ky="0" w14:dir="0" w14:kx="0" w14:algn="none" w14:sy="0" w14:sx="0" w14:dist="0">
          <w14:srgbClr w14:val="000000"/>
        </w14:shadow>
        <w14:textOutline>
          <w14:noFill/>
        </w14:textOutline>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16">
    <w:nsid w:val="00000010"/>
    <w:multiLevelType w:val="hybridMultilevel"/>
    <w:tmpl w:val="C100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754EAC84"/>
    <w:lvl w:ilvl="0" w:tplc="C46877EA">
      <w:start w:val="1"/>
      <w:numFmt w:val="bullet"/>
      <w:pStyle w:val="style4101"/>
      <w:lvlText w:val=""/>
      <w:lvlJc w:val="left"/>
      <w:pPr>
        <w:tabs>
          <w:tab w:val="left" w:leader="none" w:pos="648"/>
        </w:tabs>
        <w:ind w:left="648" w:hanging="360"/>
      </w:pPr>
      <w:rPr>
        <w:rFonts w:ascii="Symbol" w:hAnsi="Symbol" w:hint="default"/>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start w:val="1"/>
      <w:numFmt w:val="bullet"/>
      <w:lvlText w:val=""/>
      <w:lvlJc w:val="left"/>
      <w:pPr>
        <w:tabs>
          <w:tab w:val="left" w:leader="none" w:pos="2160"/>
        </w:tabs>
        <w:ind w:left="2160" w:hanging="360"/>
      </w:pPr>
      <w:rPr>
        <w:rFonts w:ascii="Wingdings" w:hAnsi="Wingdings" w:hint="default"/>
      </w:rPr>
    </w:lvl>
    <w:lvl w:ilvl="3" w:tplc="04090001">
      <w:start w:val="1"/>
      <w:numFmt w:val="bullet"/>
      <w:lvlText w:val=""/>
      <w:lvlJc w:val="left"/>
      <w:pPr>
        <w:tabs>
          <w:tab w:val="left" w:leader="none" w:pos="2880"/>
        </w:tabs>
        <w:ind w:left="2880" w:hanging="360"/>
      </w:pPr>
      <w:rPr>
        <w:rFonts w:ascii="Symbol" w:hAnsi="Symbol" w:hint="default"/>
      </w:rPr>
    </w:lvl>
    <w:lvl w:ilvl="4" w:tplc="04090003">
      <w:start w:val="1"/>
      <w:numFmt w:val="bullet"/>
      <w:lvlText w:val="o"/>
      <w:lvlJc w:val="left"/>
      <w:pPr>
        <w:tabs>
          <w:tab w:val="left" w:leader="none" w:pos="3600"/>
        </w:tabs>
        <w:ind w:left="3600" w:hanging="360"/>
      </w:pPr>
      <w:rPr>
        <w:rFonts w:ascii="Courier New" w:hAnsi="Courier New" w:hint="default"/>
      </w:rPr>
    </w:lvl>
    <w:lvl w:ilvl="5" w:tplc="04090005">
      <w:start w:val="1"/>
      <w:numFmt w:val="bullet"/>
      <w:lvlText w:val=""/>
      <w:lvlJc w:val="left"/>
      <w:pPr>
        <w:tabs>
          <w:tab w:val="left" w:leader="none" w:pos="4320"/>
        </w:tabs>
        <w:ind w:left="4320" w:hanging="360"/>
      </w:pPr>
      <w:rPr>
        <w:rFonts w:ascii="Wingdings" w:hAnsi="Wingdings" w:hint="default"/>
      </w:rPr>
    </w:lvl>
    <w:lvl w:ilvl="6" w:tplc="04090001">
      <w:start w:val="1"/>
      <w:numFmt w:val="bullet"/>
      <w:lvlText w:val=""/>
      <w:lvlJc w:val="left"/>
      <w:pPr>
        <w:tabs>
          <w:tab w:val="left" w:leader="none" w:pos="5040"/>
        </w:tabs>
        <w:ind w:left="5040" w:hanging="360"/>
      </w:pPr>
      <w:rPr>
        <w:rFonts w:ascii="Symbol" w:hAnsi="Symbol" w:hint="default"/>
      </w:rPr>
    </w:lvl>
    <w:lvl w:ilvl="7" w:tplc="04090003">
      <w:start w:val="1"/>
      <w:numFmt w:val="bullet"/>
      <w:lvlText w:val="o"/>
      <w:lvlJc w:val="left"/>
      <w:pPr>
        <w:tabs>
          <w:tab w:val="left" w:leader="none" w:pos="5760"/>
        </w:tabs>
        <w:ind w:left="5760" w:hanging="360"/>
      </w:pPr>
      <w:rPr>
        <w:rFonts w:ascii="Courier New" w:hAnsi="Courier New" w:hint="default"/>
      </w:rPr>
    </w:lvl>
    <w:lvl w:ilvl="8" w:tplc="04090005">
      <w:start w:val="1"/>
      <w:numFmt w:val="bullet"/>
      <w:lvlText w:val=""/>
      <w:lvlJc w:val="left"/>
      <w:pPr>
        <w:tabs>
          <w:tab w:val="left" w:leader="none" w:pos="6480"/>
        </w:tabs>
        <w:ind w:left="6480" w:hanging="360"/>
      </w:pPr>
      <w:rPr>
        <w:rFonts w:ascii="Wingdings" w:hAnsi="Wingdings" w:hint="default"/>
      </w:rPr>
    </w:lvl>
  </w:abstractNum>
  <w:abstractNum w:abstractNumId="18">
    <w:nsid w:val="00000012"/>
    <w:multiLevelType w:val="singleLevel"/>
    <w:tmpl w:val="5B7288D4"/>
    <w:lvl w:ilvl="0">
      <w:start w:val="14"/>
      <w:numFmt w:val="decimal"/>
      <w:lvlText w:val="%1"/>
      <w:lvlJc w:val="left"/>
      <w:pPr>
        <w:tabs>
          <w:tab w:val="left" w:leader="none" w:pos="720"/>
        </w:tabs>
        <w:ind w:left="720" w:hanging="360"/>
      </w:pPr>
      <w:rPr>
        <w:rFonts w:cs="Times New Roman" w:hint="default"/>
      </w:rPr>
    </w:lvl>
  </w:abstractNum>
  <w:abstractNum w:abstractNumId="19">
    <w:nsid w:val="00000013"/>
    <w:multiLevelType w:val="multilevel"/>
    <w:tmpl w:val="004C9D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0AB06E12"/>
    <w:lvl w:ilvl="0">
      <w:start w:val="1"/>
      <w:numFmt w:val="upperRoman"/>
      <w:pStyle w:val="style1"/>
      <w:lvlText w:val="%1."/>
      <w:lvlJc w:val="center"/>
      <w:pPr>
        <w:tabs>
          <w:tab w:val="left" w:leader="none" w:pos="576"/>
        </w:tabs>
        <w:ind w:firstLine="216"/>
      </w:pPr>
      <w:rPr>
        <w:rFonts w:ascii="Times New Roman" w:cs="Times New Roman" w:hAnsi="Times New Roman" w:hint="default"/>
        <w:caps w:val="false"/>
        <w:vanish w:val="false"/>
        <w:color w:val="auto"/>
        <w:sz w:val="20"/>
        <w:szCs w:val="20"/>
        <w:vertAlign w:val="baseline"/>
        <w14:shadow w14:blurRad="0" w14:ky="0" w14:dir="0" w14:kx="0" w14:algn="none" w14:sy="0" w14:sx="0" w14:dist="0">
          <w14:srgbClr w14:val="000000"/>
        </w14:shadow>
        <w14:textOutline>
          <w14:noFill/>
        </w14:textOutline>
      </w:rPr>
    </w:lvl>
    <w:lvl w:ilvl="1">
      <w:start w:val="1"/>
      <w:numFmt w:val="upperLetter"/>
      <w:pStyle w:val="style2"/>
      <w:lvlText w:val="%2."/>
      <w:lvlJc w:val="left"/>
      <w:pPr>
        <w:tabs>
          <w:tab w:val="left" w:leader="none" w:pos="360"/>
        </w:tabs>
        <w:ind w:left="288" w:hanging="288"/>
      </w:pPr>
      <w:rPr>
        <w:rFonts w:ascii="Times New Roman" w:cs="Times New Roman" w:hAnsi="Times New Roman" w:hint="default"/>
        <w:b w:val="false"/>
        <w:bCs w:val="false"/>
        <w:i/>
        <w:iCs/>
        <w:caps w:val="false"/>
        <w:vanish w:val="false"/>
        <w:color w:val="auto"/>
        <w:sz w:val="20"/>
        <w:szCs w:val="20"/>
        <w:vertAlign w:val="baseline"/>
        <w14:shadow w14:blurRad="0" w14:ky="0" w14:dir="0" w14:kx="0" w14:algn="none" w14:sy="0" w14:sx="0" w14:dist="0">
          <w14:srgbClr w14:val="000000"/>
        </w14:shadow>
        <w14:textOutline>
          <w14:noFill/>
        </w14:textOutline>
      </w:rPr>
    </w:lvl>
    <w:lvl w:ilvl="2">
      <w:start w:val="1"/>
      <w:numFmt w:val="decimal"/>
      <w:pStyle w:val="style3"/>
      <w:lvlText w:val="%3)"/>
      <w:lvlJc w:val="left"/>
      <w:pPr>
        <w:tabs>
          <w:tab w:val="left" w:leader="none" w:pos="540"/>
        </w:tabs>
        <w:ind w:firstLine="180"/>
      </w:pPr>
      <w:rPr>
        <w:rFonts w:ascii="Times New Roman" w:cs="Times New Roman" w:hAnsi="Times New Roman" w:hint="default"/>
        <w:b w:val="false"/>
        <w:bCs w:val="false"/>
        <w:i/>
        <w:iCs/>
        <w:caps w:val="false"/>
        <w:vanish w:val="false"/>
        <w:color w:val="auto"/>
        <w:sz w:val="20"/>
        <w:szCs w:val="20"/>
        <w:vertAlign w:val="baseline"/>
        <w14:shadow w14:blurRad="0" w14:ky="0" w14:dir="0" w14:kx="0" w14:algn="none" w14:sy="0" w14:sx="0" w14:dist="0">
          <w14:srgbClr w14:val="000000"/>
        </w14:shadow>
        <w14:textOutline>
          <w14:noFill/>
        </w14:textOutline>
      </w:rPr>
    </w:lvl>
    <w:lvl w:ilvl="3">
      <w:start w:val="1"/>
      <w:numFmt w:val="lowerLetter"/>
      <w:pStyle w:val="style4"/>
      <w:lvlText w:val="%4)"/>
      <w:lvlJc w:val="left"/>
      <w:pPr>
        <w:tabs>
          <w:tab w:val="left" w:leader="none" w:pos="630"/>
        </w:tabs>
        <w:ind w:firstLine="360"/>
      </w:pPr>
      <w:rPr>
        <w:rFonts w:ascii="Times New Roman" w:cs="Times New Roman" w:hAnsi="Times New Roman" w:hint="default"/>
        <w:b w:val="false"/>
        <w:bCs w:val="false"/>
        <w:i/>
        <w:iCs/>
        <w:sz w:val="20"/>
        <w:szCs w:val="20"/>
      </w:rPr>
    </w:lvl>
    <w:lvl w:ilvl="4">
      <w:start w:val="1"/>
      <w:numFmt w:val="none"/>
      <w:lvlText w:val=""/>
      <w:lvlJc w:val="left"/>
      <w:pPr>
        <w:tabs>
          <w:tab w:val="left" w:leader="none" w:pos="3240"/>
        </w:tabs>
        <w:ind w:left="2880"/>
      </w:pPr>
      <w:rPr>
        <w:rFonts w:cs="Times New Roman" w:hint="default"/>
      </w:rPr>
    </w:lvl>
    <w:lvl w:ilvl="5">
      <w:start w:val="1"/>
      <w:numFmt w:val="lowerLetter"/>
      <w:lvlText w:val="(%6)"/>
      <w:lvlJc w:val="left"/>
      <w:pPr>
        <w:tabs>
          <w:tab w:val="left" w:leader="none" w:pos="3960"/>
        </w:tabs>
        <w:ind w:left="3600"/>
      </w:pPr>
      <w:rPr>
        <w:rFonts w:cs="Times New Roman" w:hint="default"/>
      </w:rPr>
    </w:lvl>
    <w:lvl w:ilvl="6">
      <w:start w:val="1"/>
      <w:numFmt w:val="lowerRoman"/>
      <w:lvlText w:val="(%7)"/>
      <w:lvlJc w:val="left"/>
      <w:pPr>
        <w:tabs>
          <w:tab w:val="left" w:leader="none" w:pos="4680"/>
        </w:tabs>
        <w:ind w:left="4320"/>
      </w:pPr>
      <w:rPr>
        <w:rFonts w:cs="Times New Roman" w:hint="default"/>
      </w:rPr>
    </w:lvl>
    <w:lvl w:ilvl="7">
      <w:start w:val="1"/>
      <w:numFmt w:val="lowerLetter"/>
      <w:lvlText w:val="(%8)"/>
      <w:lvlJc w:val="left"/>
      <w:pPr>
        <w:tabs>
          <w:tab w:val="left" w:leader="none" w:pos="5400"/>
        </w:tabs>
        <w:ind w:left="5040"/>
      </w:pPr>
      <w:rPr>
        <w:rFonts w:cs="Times New Roman" w:hint="default"/>
      </w:rPr>
    </w:lvl>
    <w:lvl w:ilvl="8">
      <w:start w:val="1"/>
      <w:numFmt w:val="lowerRoman"/>
      <w:lvlText w:val="(%9)"/>
      <w:lvlJc w:val="left"/>
      <w:pPr>
        <w:tabs>
          <w:tab w:val="left" w:leader="none" w:pos="6120"/>
        </w:tabs>
        <w:ind w:left="5760"/>
      </w:pPr>
      <w:rPr>
        <w:rFonts w:cs="Times New Roman" w:hint="default"/>
      </w:rPr>
    </w:lvl>
  </w:abstractNum>
  <w:abstractNum w:abstractNumId="21">
    <w:nsid w:val="00000015"/>
    <w:multiLevelType w:val="hybridMultilevel"/>
    <w:tmpl w:val="9A9E418C"/>
    <w:lvl w:ilvl="0" w:tplc="2C18EFA4">
      <w:start w:val="1"/>
      <w:numFmt w:val="lowerLetter"/>
      <w:pStyle w:val="style4112"/>
      <w:lvlText w:val="%1."/>
      <w:lvlJc w:val="left"/>
      <w:pPr>
        <w:ind w:left="418" w:hanging="360"/>
      </w:pPr>
      <w:rPr>
        <w:rFonts w:ascii="Times New Roman" w:hAnsi="Times New Roman" w:hint="default"/>
        <w:b w:val="false"/>
        <w:i w:val="false"/>
        <w:caps w:val="false"/>
        <w:vanish w:val="false"/>
        <w:color w:val="auto"/>
        <w:spacing w:val="0"/>
        <w:w w:val="100"/>
        <w:kern w:val="0"/>
        <w:position w:val="0"/>
        <w:sz w:val="16"/>
        <w:vertAlign w:val="superscript"/>
        <w14:shadow w14:blurRad="0" w14:ky="0" w14:dir="0" w14:kx="0" w14:algn="none" w14:sy="0" w14:sx="0" w14:dist="0">
          <w14:srgbClr w14:val="000000"/>
        </w14:shadow>
        <w14:textOutline>
          <w14:noFill/>
        </w14:textOutline>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180"/>
      </w:pPr>
    </w:lvl>
  </w:abstractNum>
  <w:abstractNum w:abstractNumId="22">
    <w:nsid w:val="00000016"/>
    <w:multiLevelType w:val="hybridMultilevel"/>
    <w:tmpl w:val="8DEE4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00000017"/>
    <w:multiLevelType w:val="singleLevel"/>
    <w:tmpl w:val="AED6D67E"/>
    <w:lvl w:ilvl="0">
      <w:start w:val="1"/>
      <w:numFmt w:val="decimal"/>
      <w:pStyle w:val="style4107"/>
      <w:lvlText w:val="[%1]"/>
      <w:lvlJc w:val="left"/>
      <w:pPr>
        <w:tabs>
          <w:tab w:val="left" w:leader="none" w:pos="360"/>
        </w:tabs>
        <w:ind w:left="360" w:hanging="360"/>
      </w:pPr>
      <w:rPr>
        <w:rFonts w:ascii="Times New Roman" w:cs="Times New Roman" w:hAnsi="Times New Roman" w:hint="default"/>
        <w:b w:val="false"/>
        <w:bCs w:val="false"/>
        <w:i w:val="false"/>
        <w:iCs w:val="false"/>
        <w:sz w:val="16"/>
        <w:szCs w:val="16"/>
      </w:rPr>
    </w:lvl>
  </w:abstractNum>
  <w:abstractNum w:abstractNumId="24">
    <w:nsid w:val="00000018"/>
    <w:multiLevelType w:val="hybridMultilevel"/>
    <w:tmpl w:val="4A9EDCF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cs="Courier New" w:hAnsi="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cs="Courier New" w:hAnsi="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cs="Courier New" w:hAnsi="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5">
    <w:nsid w:val="00000019"/>
    <w:multiLevelType w:val="hybridMultilevel"/>
    <w:tmpl w:val="9A1CA078"/>
    <w:lvl w:ilvl="0" w:tplc="C8D6570A">
      <w:start w:val="1"/>
      <w:numFmt w:val="decimal"/>
      <w:pStyle w:val="style4103"/>
      <w:lvlText w:val="Fig. %1."/>
      <w:lvlJc w:val="left"/>
      <w:pPr>
        <w:ind w:left="360" w:hanging="360"/>
      </w:pPr>
      <w:rPr>
        <w:rFonts w:ascii="Times New Roman" w:cs="Times New Roman" w:hAnsi="Times New Roman" w:hint="default"/>
        <w:b w:val="false"/>
        <w:bCs w:val="false"/>
        <w:i w:val="false"/>
        <w:iCs w:val="false"/>
        <w:color w:val="auto"/>
        <w:sz w:val="16"/>
        <w:szCs w:val="16"/>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26">
    <w:nsid w:val="0000001A"/>
    <w:multiLevelType w:val="singleLevel"/>
    <w:tmpl w:val="166470C2"/>
    <w:lvl w:ilvl="0">
      <w:start w:val="1"/>
      <w:numFmt w:val="upperRoman"/>
      <w:pStyle w:val="style4113"/>
      <w:lvlText w:val="TABLE %1. "/>
      <w:lvlJc w:val="left"/>
      <w:pPr>
        <w:tabs>
          <w:tab w:val="left" w:leader="none" w:pos="1080"/>
        </w:tabs>
      </w:pPr>
      <w:rPr>
        <w:rFonts w:ascii="Times New Roman" w:cs="Times New Roman" w:hAnsi="Times New Roman" w:hint="default"/>
        <w:b w:val="false"/>
        <w:bCs w:val="false"/>
        <w:i w:val="false"/>
        <w:iCs w:val="false"/>
        <w:sz w:val="16"/>
        <w:szCs w:val="16"/>
      </w:rPr>
    </w:lvl>
  </w:abstractNum>
  <w:num w:numId="1">
    <w:abstractNumId w:val="20"/>
  </w:num>
  <w:num w:numId="2">
    <w:abstractNumId w:val="17"/>
  </w:num>
  <w:num w:numId="3">
    <w:abstractNumId w:val="25"/>
  </w:num>
  <w:num w:numId="4">
    <w:abstractNumId w:val="15"/>
  </w:num>
  <w:num w:numId="5">
    <w:abstractNumId w:val="23"/>
  </w:num>
  <w:num w:numId="6">
    <w:abstractNumId w:val="21"/>
  </w:num>
  <w:num w:numId="7">
    <w:abstractNumId w:val="26"/>
  </w:num>
  <w:num w:numId="8">
    <w:abstractNumId w:val="20"/>
  </w:num>
  <w:num w:numId="9">
    <w:abstractNumId w:val="20"/>
  </w:num>
  <w:num w:numId="10">
    <w:abstractNumId w:val="20"/>
  </w:num>
  <w:num w:numId="11">
    <w:abstractNumId w:val="18"/>
  </w:num>
  <w:num w:numId="12">
    <w:abstractNumId w:val="13"/>
  </w:num>
  <w:num w:numId="13">
    <w:abstractNumId w:val="12"/>
  </w:num>
  <w:num w:numId="14">
    <w:abstractNumId w:val="0"/>
  </w:num>
  <w:num w:numId="15">
    <w:abstractNumId w:val="10"/>
  </w:num>
  <w:num w:numId="16">
    <w:abstractNumId w:val="8"/>
  </w:num>
  <w:num w:numId="17">
    <w:abstractNumId w:val="7"/>
  </w:num>
  <w:num w:numId="18">
    <w:abstractNumId w:val="6"/>
  </w:num>
  <w:num w:numId="19">
    <w:abstractNumId w:val="5"/>
  </w:num>
  <w:num w:numId="20">
    <w:abstractNumId w:val="9"/>
  </w:num>
  <w:num w:numId="21">
    <w:abstractNumId w:val="4"/>
  </w:num>
  <w:num w:numId="22">
    <w:abstractNumId w:val="3"/>
  </w:num>
  <w:num w:numId="23">
    <w:abstractNumId w:val="2"/>
  </w:num>
  <w:num w:numId="24">
    <w:abstractNumId w:val="1"/>
  </w:num>
  <w:num w:numId="25">
    <w:abstractNumId w:val="20"/>
  </w:num>
  <w:num w:numId="26">
    <w:abstractNumId w:val="20"/>
  </w:num>
  <w:num w:numId="27">
    <w:abstractNumId w:val="19"/>
  </w:num>
  <w:num w:numId="28">
    <w:abstractNumId w:val="16"/>
  </w:num>
  <w:num w:numId="29">
    <w:abstractNumId w:val="22"/>
  </w:num>
  <w:num w:numId="30">
    <w:abstractNumId w:val="24"/>
  </w:num>
  <w:num w:numId="31">
    <w:abstractNumId w:val="14"/>
  </w:num>
  <w:num w:numId="32">
    <w:abstractNumId w:val="20"/>
    <w:lvlOverride w:ilvl="0">
      <w:startOverride w:val="500"/>
    </w:lvlOverride>
  </w:num>
  <w:num w:numId="33">
    <w:abstractNumId w:val="20"/>
    <w:lvlOverride w:ilvl="0">
      <w:startOverride w:val="500"/>
    </w:lvlOverride>
  </w:num>
  <w:num w:numId="34">
    <w:abstractNumId w:val="20"/>
  </w:num>
  <w:num w:numId="35">
    <w:abstractNumId w:val="20"/>
  </w:num>
  <w:num w:numId="36">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en-US"/>
      </w:rPr>
    </w:rPrDefault>
    <w:pPrDefault>
      <w:pPr/>
    </w:pPrDefault>
  </w:docDefaults>
  <w:style w:type="paragraph" w:default="1" w:styleId="style0">
    <w:name w:val="Normal"/>
    <w:next w:val="style0"/>
    <w:qFormat/>
    <w:pPr>
      <w:jc w:val="center"/>
    </w:pPr>
    <w:rPr/>
  </w:style>
  <w:style w:type="paragraph" w:styleId="style1">
    <w:name w:val="heading 1"/>
    <w:basedOn w:val="style0"/>
    <w:next w:val="style0"/>
    <w:qFormat/>
    <w:pPr>
      <w:keepNext/>
      <w:keepLines/>
      <w:numPr>
        <w:ilvl w:val="0"/>
        <w:numId w:val="1"/>
      </w:numPr>
      <w:tabs>
        <w:tab w:val="left" w:leader="none" w:pos="216"/>
      </w:tabs>
      <w:spacing w:before="160" w:after="80"/>
      <w:outlineLvl w:val="0"/>
    </w:pPr>
    <w:rPr>
      <w:smallCaps/>
      <w:noProof/>
    </w:rPr>
  </w:style>
  <w:style w:type="paragraph" w:styleId="style2">
    <w:name w:val="heading 2"/>
    <w:basedOn w:val="style0"/>
    <w:next w:val="style0"/>
    <w:qFormat/>
    <w:pPr>
      <w:keepNext/>
      <w:keepLines/>
      <w:numPr>
        <w:ilvl w:val="1"/>
        <w:numId w:val="1"/>
      </w:numPr>
      <w:spacing w:before="120" w:after="60"/>
      <w:jc w:val="left"/>
      <w:outlineLvl w:val="1"/>
    </w:pPr>
    <w:rPr>
      <w:i/>
      <w:iCs/>
      <w:noProof/>
    </w:rPr>
  </w:style>
  <w:style w:type="paragraph" w:styleId="style3">
    <w:name w:val="heading 3"/>
    <w:basedOn w:val="style0"/>
    <w:next w:val="style0"/>
    <w:qFormat/>
    <w:pPr>
      <w:numPr>
        <w:ilvl w:val="2"/>
        <w:numId w:val="1"/>
      </w:numPr>
      <w:spacing w:lineRule="exact" w:line="240"/>
      <w:ind w:firstLine="288"/>
      <w:jc w:val="both"/>
      <w:outlineLvl w:val="2"/>
    </w:pPr>
    <w:rPr>
      <w:i/>
      <w:iCs/>
      <w:noProof/>
    </w:rPr>
  </w:style>
  <w:style w:type="paragraph" w:styleId="style4">
    <w:name w:val="heading 4"/>
    <w:basedOn w:val="style0"/>
    <w:next w:val="style0"/>
    <w:qFormat/>
    <w:pPr>
      <w:numPr>
        <w:ilvl w:val="3"/>
        <w:numId w:val="1"/>
      </w:numPr>
      <w:tabs>
        <w:tab w:val="clear" w:pos="630"/>
      </w:tabs>
      <w:spacing w:before="40" w:after="40"/>
      <w:ind w:firstLine="504"/>
      <w:jc w:val="both"/>
      <w:outlineLvl w:val="3"/>
    </w:pPr>
    <w:rPr>
      <w:i/>
      <w:iCs/>
      <w:noProof/>
    </w:rPr>
  </w:style>
  <w:style w:type="paragraph" w:styleId="style5">
    <w:name w:val="heading 5"/>
    <w:basedOn w:val="style0"/>
    <w:next w:val="style0"/>
    <w:qFormat/>
    <w:pPr>
      <w:tabs>
        <w:tab w:val="left" w:leader="none" w:pos="360"/>
      </w:tabs>
      <w:spacing w:before="160" w:after="80"/>
      <w:outlineLvl w:val="4"/>
    </w:pPr>
    <w:rPr>
      <w:smallCaps/>
      <w:noProof/>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Abstract"/>
    <w:next w:val="style4097"/>
    <w:pPr>
      <w:spacing w:after="200"/>
      <w:ind w:firstLine="272"/>
      <w:jc w:val="both"/>
    </w:pPr>
    <w:rPr>
      <w:b/>
      <w:bCs/>
      <w:sz w:val="18"/>
      <w:szCs w:val="18"/>
    </w:rPr>
  </w:style>
  <w:style w:type="paragraph" w:customStyle="1" w:styleId="style4098">
    <w:name w:val="Affiliation"/>
    <w:next w:val="style4098"/>
    <w:pPr>
      <w:jc w:val="center"/>
    </w:pPr>
    <w:rPr/>
  </w:style>
  <w:style w:type="paragraph" w:customStyle="1" w:styleId="style4099">
    <w:name w:val="Author"/>
    <w:next w:val="style4099"/>
    <w:pPr>
      <w:spacing w:before="360" w:after="40"/>
      <w:jc w:val="center"/>
    </w:pPr>
    <w:rPr>
      <w:noProof/>
      <w:sz w:val="22"/>
      <w:szCs w:val="22"/>
    </w:rPr>
  </w:style>
  <w:style w:type="paragraph" w:styleId="style66">
    <w:name w:val="Body Text"/>
    <w:basedOn w:val="style0"/>
    <w:next w:val="style66"/>
    <w:link w:val="style4100"/>
    <w:pPr>
      <w:tabs>
        <w:tab w:val="left" w:leader="none" w:pos="288"/>
      </w:tabs>
      <w:spacing w:after="120" w:lineRule="auto" w:line="228"/>
      <w:ind w:firstLine="288"/>
      <w:jc w:val="both"/>
    </w:pPr>
    <w:rPr>
      <w:spacing w:val="-1"/>
    </w:rPr>
  </w:style>
  <w:style w:type="character" w:customStyle="1" w:styleId="style4100">
    <w:name w:val="Body Text Char"/>
    <w:next w:val="style4100"/>
    <w:link w:val="style66"/>
    <w:rPr>
      <w:spacing w:val="-1"/>
    </w:rPr>
  </w:style>
  <w:style w:type="paragraph" w:customStyle="1" w:styleId="style4101">
    <w:name w:val="bullet list"/>
    <w:basedOn w:val="style66"/>
    <w:next w:val="style4101"/>
    <w:pPr>
      <w:numPr>
        <w:ilvl w:val="0"/>
        <w:numId w:val="2"/>
      </w:numPr>
      <w:tabs>
        <w:tab w:val="clear" w:pos="648"/>
      </w:tabs>
      <w:ind w:left="576" w:hanging="288"/>
    </w:pPr>
    <w:rPr/>
  </w:style>
  <w:style w:type="paragraph" w:customStyle="1" w:styleId="style4102">
    <w:name w:val="equation"/>
    <w:basedOn w:val="style0"/>
    <w:next w:val="style4102"/>
    <w:pPr>
      <w:tabs>
        <w:tab w:val="center" w:leader="none" w:pos="2520"/>
        <w:tab w:val="left" w:leader="none" w:pos="5040"/>
      </w:tabs>
      <w:spacing w:before="240" w:after="240" w:lineRule="auto" w:line="216"/>
    </w:pPr>
    <w:rPr>
      <w:rFonts w:ascii="Symbol" w:cs="Symbol" w:hAnsi="Symbol"/>
    </w:rPr>
  </w:style>
  <w:style w:type="paragraph" w:customStyle="1" w:styleId="style4103">
    <w:name w:val="figure caption"/>
    <w:next w:val="style4103"/>
    <w:pPr>
      <w:numPr>
        <w:ilvl w:val="0"/>
        <w:numId w:val="3"/>
      </w:numPr>
      <w:tabs>
        <w:tab w:val="left" w:leader="none" w:pos="533"/>
      </w:tabs>
      <w:spacing w:before="80" w:after="200"/>
      <w:ind w:left="0" w:firstLine="0"/>
      <w:jc w:val="both"/>
    </w:pPr>
    <w:rPr>
      <w:noProof/>
      <w:sz w:val="16"/>
      <w:szCs w:val="16"/>
    </w:rPr>
  </w:style>
  <w:style w:type="paragraph" w:customStyle="1" w:styleId="style4104">
    <w:name w:val="footnote"/>
    <w:next w:val="style4104"/>
    <w:pPr>
      <w:framePr w:hSpace="187" w:vSpace="187" w:wrap="notBeside" w:hAnchor="page" w:vAnchor="text" w:x="6121" w:y="577"/>
      <w:numPr>
        <w:ilvl w:val="0"/>
        <w:numId w:val="4"/>
      </w:numPr>
      <w:spacing w:after="40"/>
    </w:pPr>
    <w:rPr>
      <w:sz w:val="16"/>
      <w:szCs w:val="16"/>
    </w:rPr>
  </w:style>
  <w:style w:type="paragraph" w:customStyle="1" w:styleId="style4105">
    <w:name w:val="paper subtitle"/>
    <w:next w:val="style4105"/>
    <w:pPr>
      <w:spacing w:after="120"/>
      <w:jc w:val="center"/>
    </w:pPr>
    <w:rPr>
      <w:rFonts w:eastAsia="MS Mincho"/>
      <w:noProof/>
      <w:sz w:val="28"/>
      <w:szCs w:val="28"/>
    </w:rPr>
  </w:style>
  <w:style w:type="paragraph" w:customStyle="1" w:styleId="style4106">
    <w:name w:val="paper title"/>
    <w:next w:val="style4106"/>
    <w:pPr>
      <w:spacing w:after="120"/>
      <w:jc w:val="center"/>
    </w:pPr>
    <w:rPr>
      <w:rFonts w:eastAsia="MS Mincho"/>
      <w:noProof/>
      <w:sz w:val="48"/>
      <w:szCs w:val="48"/>
    </w:rPr>
  </w:style>
  <w:style w:type="paragraph" w:customStyle="1" w:styleId="style4107">
    <w:name w:val="references"/>
    <w:next w:val="style4107"/>
    <w:pPr>
      <w:numPr>
        <w:ilvl w:val="0"/>
        <w:numId w:val="5"/>
      </w:numPr>
      <w:spacing w:after="50" w:lineRule="exact" w:line="180"/>
      <w:jc w:val="both"/>
    </w:pPr>
    <w:rPr>
      <w:rFonts w:eastAsia="MS Mincho"/>
      <w:noProof/>
      <w:sz w:val="16"/>
      <w:szCs w:val="16"/>
    </w:rPr>
  </w:style>
  <w:style w:type="paragraph" w:customStyle="1" w:styleId="style4108">
    <w:name w:val="sponsors"/>
    <w:next w:val="style4108"/>
    <w:pPr>
      <w:framePr w:wrap="auto" w:hAnchor="text" w:x="615" w:y="2239"/>
      <w:pBdr>
        <w:top w:val="single" w:sz="4" w:space="2" w:color="auto"/>
      </w:pBdr>
      <w:ind w:firstLine="288"/>
    </w:pPr>
    <w:rPr>
      <w:sz w:val="16"/>
      <w:szCs w:val="16"/>
    </w:rPr>
  </w:style>
  <w:style w:type="paragraph" w:customStyle="1" w:styleId="style4109">
    <w:name w:val="table col head"/>
    <w:basedOn w:val="style0"/>
    <w:next w:val="style4109"/>
    <w:pPr/>
    <w:rPr>
      <w:b/>
      <w:bCs/>
      <w:sz w:val="16"/>
      <w:szCs w:val="16"/>
    </w:rPr>
  </w:style>
  <w:style w:type="paragraph" w:customStyle="1" w:styleId="style4110">
    <w:name w:val="table col subhead"/>
    <w:basedOn w:val="style4109"/>
    <w:next w:val="style4110"/>
    <w:pPr/>
    <w:rPr>
      <w:i/>
      <w:iCs/>
      <w:sz w:val="15"/>
      <w:szCs w:val="15"/>
    </w:rPr>
  </w:style>
  <w:style w:type="paragraph" w:customStyle="1" w:styleId="style4111">
    <w:name w:val="table copy"/>
    <w:next w:val="style4111"/>
    <w:pPr>
      <w:jc w:val="both"/>
    </w:pPr>
    <w:rPr>
      <w:noProof/>
      <w:sz w:val="16"/>
      <w:szCs w:val="16"/>
    </w:rPr>
  </w:style>
  <w:style w:type="paragraph" w:customStyle="1" w:styleId="style4112">
    <w:name w:val="table footnote"/>
    <w:next w:val="style4112"/>
    <w:pPr>
      <w:numPr>
        <w:ilvl w:val="0"/>
        <w:numId w:val="6"/>
      </w:numPr>
      <w:spacing w:before="60" w:after="30"/>
      <w:ind w:left="58" w:hanging="29"/>
      <w:jc w:val="left"/>
    </w:pPr>
    <w:rPr>
      <w:sz w:val="12"/>
      <w:szCs w:val="12"/>
    </w:rPr>
  </w:style>
  <w:style w:type="paragraph" w:customStyle="1" w:styleId="style4113">
    <w:name w:val="table head"/>
    <w:next w:val="style4113"/>
    <w:pPr>
      <w:numPr>
        <w:ilvl w:val="0"/>
        <w:numId w:val="7"/>
      </w:numPr>
      <w:spacing w:before="240" w:after="120" w:lineRule="auto" w:line="216"/>
      <w:jc w:val="center"/>
    </w:pPr>
    <w:rPr>
      <w:smallCaps/>
      <w:noProof/>
      <w:sz w:val="16"/>
      <w:szCs w:val="16"/>
    </w:rPr>
  </w:style>
  <w:style w:type="paragraph" w:customStyle="1" w:styleId="style4114">
    <w:name w:val="Keywords"/>
    <w:basedOn w:val="style4097"/>
    <w:next w:val="style4114"/>
    <w:qFormat/>
    <w:pPr>
      <w:spacing w:after="120"/>
      <w:ind w:firstLine="274"/>
    </w:pPr>
    <w:rPr>
      <w:i/>
    </w:rPr>
  </w:style>
  <w:style w:type="paragraph" w:styleId="style31">
    <w:name w:val="header"/>
    <w:basedOn w:val="style0"/>
    <w:next w:val="style31"/>
    <w:link w:val="style4115"/>
    <w:pPr>
      <w:tabs>
        <w:tab w:val="center" w:leader="none" w:pos="4680"/>
        <w:tab w:val="left" w:leader="none" w:pos="9360"/>
      </w:tabs>
    </w:pPr>
    <w:rPr/>
  </w:style>
  <w:style w:type="character" w:customStyle="1" w:styleId="style4115">
    <w:name w:val="Header Char_8c9f4cd7-97e0-47b3-a634-822b3e09d17b"/>
    <w:basedOn w:val="style65"/>
    <w:next w:val="style4115"/>
    <w:link w:val="style31"/>
  </w:style>
  <w:style w:type="paragraph" w:styleId="style32">
    <w:name w:val="footer"/>
    <w:basedOn w:val="style0"/>
    <w:next w:val="style32"/>
    <w:link w:val="style4116"/>
    <w:pPr>
      <w:tabs>
        <w:tab w:val="center" w:leader="none" w:pos="4680"/>
        <w:tab w:val="left" w:leader="none" w:pos="9360"/>
      </w:tabs>
    </w:pPr>
    <w:rPr/>
  </w:style>
  <w:style w:type="character" w:customStyle="1" w:styleId="style4116">
    <w:name w:val="Footer Char_815c9e74-5c1d-439e-b76e-c8bde241fedd"/>
    <w:basedOn w:val="style65"/>
    <w:next w:val="style4116"/>
    <w:link w:val="style32"/>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rPr>
      <w:color w:val="0563c1"/>
      <w:u w:val="single"/>
    </w:rPr>
  </w:style>
  <w:style w:type="character" w:customStyle="1" w:styleId="style4117">
    <w:name w:val="Unresolved Mention"/>
    <w:basedOn w:val="style65"/>
    <w:next w:val="style4117"/>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Words>2080</Words>
  <Pages>1</Pages>
  <Characters>13111</Characters>
  <Application>WPS Office</Application>
  <DocSecurity>0</DocSecurity>
  <Paragraphs>143</Paragraphs>
  <ScaleCrop>false</ScaleCrop>
  <Company>IEEE</Company>
  <LinksUpToDate>false</LinksUpToDate>
  <CharactersWithSpaces>15074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2024-07-16T13:42:00Z</dcterms:created>
  <dc:creator>IEEE</dc:creator>
  <lastModifiedBy>CPH2467</lastModifiedBy>
  <dcterms:modified xsi:type="dcterms:W3CDTF">2025-04-16T21:16:36Z</dcterms:modified>
  <revision>4</revision>
  <dc:title>Paper Title (use style: paper title)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a2b4204d35ce40869305e01cd3947c66</vt:lpwstr>
  </property>
</Properties>
</file>