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Default="00EB0E5B" w:rsidP="007779AE">
            <w:pPr>
              <w:rPr>
                <w:rFonts w:cstheme="minorHAnsi"/>
              </w:rPr>
            </w:pPr>
            <w:r>
              <w:rPr>
                <w:rFonts w:cstheme="minorHAnsi"/>
              </w:rPr>
              <w:t>Objectives:</w:t>
            </w:r>
          </w:p>
          <w:p w14:paraId="5AC8F243" w14:textId="0123AEB0" w:rsidR="00EB0E5B" w:rsidRDefault="00EB0E5B" w:rsidP="00EB0E5B">
            <w:pPr>
              <w:pStyle w:val="ListParagraph"/>
              <w:numPr>
                <w:ilvl w:val="0"/>
                <w:numId w:val="9"/>
              </w:numPr>
              <w:rPr>
                <w:rFonts w:cstheme="minorHAnsi"/>
              </w:rPr>
            </w:pPr>
            <w:r>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Pr>
                <w:rFonts w:cstheme="minorHAnsi"/>
              </w:rPr>
              <w:t xml:space="preserve"> literature review </w:t>
            </w:r>
            <w:r w:rsidR="009A2624">
              <w:rPr>
                <w:rFonts w:cstheme="minorHAnsi"/>
              </w:rPr>
              <w:t>of existing methods, to both the representation problem, and optimisation approaches.</w:t>
            </w:r>
          </w:p>
          <w:p w14:paraId="1181256B" w14:textId="50C3CDB0"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385508B9"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such as optimising the lift to drag </w:t>
            </w:r>
            <w:r w:rsidR="009A2624">
              <w:rPr>
                <w:rFonts w:cstheme="minorHAnsi"/>
              </w:rPr>
              <w:t>ratio</w:t>
            </w:r>
            <w:r>
              <w:rPr>
                <w:rFonts w:cstheme="minorHAnsi"/>
              </w:rPr>
              <w:t xml:space="preserve">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14364A7E"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w:t>
            </w:r>
            <w:r w:rsidR="009A2624">
              <w:rPr>
                <w:rFonts w:eastAsiaTheme="minorEastAsia" w:cstheme="minorHAnsi"/>
              </w:rPr>
              <w:t xml:space="preserve"> parameterised by</w:t>
            </w:r>
            <w:r>
              <w:rPr>
                <w:rFonts w:eastAsiaTheme="minorEastAsia" w:cstheme="minorHAnsi"/>
              </w:rPr>
              <w:t xml:space="preserve">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 xml:space="preserve">equation 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single parameter </w:t>
            </w:r>
            <m:oMath>
              <m:r>
                <w:rPr>
                  <w:rFonts w:ascii="Cambria Math" w:eastAsiaTheme="minorEastAsia" w:hAnsi="Cambria Math" w:cstheme="minorHAnsi"/>
                </w:rPr>
                <m:t>r</m:t>
              </m:r>
            </m:oMath>
            <w:r w:rsidR="009A2624">
              <w:rPr>
                <w:rFonts w:eastAsiaTheme="minorEastAsia" w:cstheme="minorHAnsi"/>
              </w:rPr>
              <w:t xml:space="preserve"> is inversely proportional to the 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2B6007DF"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highly complex</w:t>
            </w:r>
            <w:r w:rsidR="009A2624">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w:t>
            </w:r>
            <w:r w:rsidR="009A2624">
              <w:rPr>
                <w:rFonts w:cstheme="minorHAnsi"/>
              </w:rPr>
              <w:t xml:space="preserve">2D </w:t>
            </w:r>
            <w:r w:rsidR="004A2466">
              <w:rPr>
                <w:rFonts w:cstheme="minorHAnsi"/>
              </w:rPr>
              <w:t>shapes relate to each other by realisation of an intermediatory, low-dimensional representation learned from data</w:t>
            </w:r>
            <w:r w:rsidR="00BF673F">
              <w:rPr>
                <w:rFonts w:cstheme="minorHAnsi"/>
              </w:rPr>
              <w:t xml:space="preserve"> that provides latent variables, i.e., tuneable variables, that describe a smooth transition between different shapes. In doing so, we provide a means to reduce the high-dimensional design space which better lends itself to optimisation approaches</w:t>
            </w:r>
            <w:r w:rsidR="009A2624">
              <w:rPr>
                <w:rFonts w:cstheme="minorHAnsi"/>
              </w:rPr>
              <w:t xml:space="preserve">. </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lastRenderedPageBreak/>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xml:space="preserve">. </w:t>
            </w:r>
            <w:hyperlink r:id="rId13" w:history="1">
              <w:r w:rsidR="005135CF" w:rsidRPr="00277D45">
                <w:rPr>
                  <w:rStyle w:val="Hyperlink"/>
                </w:rPr>
                <w:t>https://doi.org/10.1016/j.autcon.2021.103664</w:t>
              </w:r>
            </w:hyperlink>
          </w:p>
          <w:p w14:paraId="29F898C8" w14:textId="77777777" w:rsidR="005135CF" w:rsidRDefault="005135CF" w:rsidP="00C67D07">
            <w:pPr>
              <w:rPr>
                <w:color w:val="000000"/>
              </w:rPr>
            </w:pPr>
          </w:p>
          <w:p w14:paraId="358698A3" w14:textId="49252AB7" w:rsidR="005135CF" w:rsidRDefault="005135CF" w:rsidP="005135CF">
            <w:pPr>
              <w:rPr>
                <w:color w:val="000000"/>
              </w:rPr>
            </w:pPr>
            <w:r>
              <w:rPr>
                <w:color w:val="000000"/>
              </w:rPr>
              <w:t>Gupta, S., Tiwari, R., &amp; Nair, S. B. (2007). 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4"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5"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6"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7" w:history="1">
              <w:r w:rsidR="00EA10C1" w:rsidRPr="002A089B">
                <w:rPr>
                  <w:rStyle w:val="Hyperlink"/>
                </w:rPr>
                <w:t>https://doi.org/10.1007/978-3-642-21292-5_3</w:t>
              </w:r>
            </w:hyperlink>
          </w:p>
          <w:p w14:paraId="6399236B" w14:textId="74B0FD93" w:rsidR="00EA10C1" w:rsidRDefault="00EA10C1" w:rsidP="000C68FD">
            <w:pPr>
              <w:rPr>
                <w:color w:val="000000"/>
              </w:rPr>
            </w:pPr>
            <w:r w:rsidRPr="00EA10C1">
              <w:rPr>
                <w:color w:val="000000"/>
              </w:rPr>
              <w:t xml:space="preserve">Selig, Michael S. (1996). UIUC </w:t>
            </w:r>
            <w:proofErr w:type="spellStart"/>
            <w:r w:rsidRPr="00EA10C1">
              <w:rPr>
                <w:color w:val="000000"/>
              </w:rPr>
              <w:t>airfoil</w:t>
            </w:r>
            <w:proofErr w:type="spellEnd"/>
            <w:r w:rsidRPr="00EA10C1">
              <w:rPr>
                <w:color w:val="000000"/>
              </w:rPr>
              <w:t xml:space="preserve"> data site. 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8"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D65CFB">
              <w:tc>
                <w:tcPr>
                  <w:tcW w:w="2427" w:type="dxa"/>
                </w:tcPr>
                <w:p w14:paraId="3CA9C4ED" w14:textId="48782E78" w:rsidR="007A2F88" w:rsidRPr="00BC294A" w:rsidRDefault="00B7175C" w:rsidP="007A2F88">
                  <w:pPr>
                    <w:rPr>
                      <w:rFonts w:cstheme="minorHAnsi"/>
                    </w:rPr>
                  </w:pPr>
                  <w:r>
                    <w:rPr>
                      <w:rFonts w:cstheme="minorHAnsi"/>
                    </w:rPr>
                    <w:t>Week 1 – w/c 10.03.25</w:t>
                  </w:r>
                </w:p>
              </w:tc>
              <w:tc>
                <w:tcPr>
                  <w:tcW w:w="6270"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D65CFB">
              <w:tc>
                <w:tcPr>
                  <w:tcW w:w="2427" w:type="dxa"/>
                </w:tcPr>
                <w:p w14:paraId="36024B57" w14:textId="5AEE2B4D" w:rsidR="00B7175C" w:rsidRPr="00BC294A" w:rsidRDefault="00B7175C" w:rsidP="00B7175C">
                  <w:pPr>
                    <w:rPr>
                      <w:rFonts w:cstheme="minorHAnsi"/>
                    </w:rPr>
                  </w:pPr>
                  <w:r>
                    <w:rPr>
                      <w:rFonts w:cstheme="minorHAnsi"/>
                    </w:rPr>
                    <w:t xml:space="preserve">Week 1 </w:t>
                  </w:r>
                </w:p>
              </w:tc>
              <w:tc>
                <w:tcPr>
                  <w:tcW w:w="6270" w:type="dxa"/>
                  <w:vAlign w:val="center"/>
                </w:tcPr>
                <w:p w14:paraId="11112BF7" w14:textId="37D2D9CC" w:rsidR="00B7175C" w:rsidRPr="00BC294A" w:rsidRDefault="00B7175C" w:rsidP="00B7175C">
                  <w:pPr>
                    <w:rPr>
                      <w:rFonts w:cstheme="minorHAnsi"/>
                    </w:rPr>
                  </w:pPr>
                  <w:r>
                    <w:rPr>
                      <w:rFonts w:ascii="Aptos Narrow" w:hAnsi="Aptos Narrow"/>
                      <w:color w:val="000000"/>
                    </w:rPr>
                    <w:t>Ethics approval form</w:t>
                  </w:r>
                </w:p>
              </w:tc>
            </w:tr>
            <w:tr w:rsidR="00B7175C" w:rsidRPr="00BC294A" w14:paraId="753823A1" w14:textId="77777777" w:rsidTr="00D65CFB">
              <w:tc>
                <w:tcPr>
                  <w:tcW w:w="2427" w:type="dxa"/>
                </w:tcPr>
                <w:p w14:paraId="04B34A80" w14:textId="01A02F2D" w:rsidR="00B7175C" w:rsidRPr="00BC294A" w:rsidRDefault="00B7175C" w:rsidP="00B7175C">
                  <w:pPr>
                    <w:rPr>
                      <w:rFonts w:cstheme="minorHAnsi"/>
                    </w:rPr>
                  </w:pPr>
                  <w:r>
                    <w:rPr>
                      <w:rFonts w:cstheme="minorHAnsi"/>
                    </w:rPr>
                    <w:t>Week 2-4</w:t>
                  </w:r>
                </w:p>
              </w:tc>
              <w:tc>
                <w:tcPr>
                  <w:tcW w:w="6270"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D65CFB">
              <w:tc>
                <w:tcPr>
                  <w:tcW w:w="2427" w:type="dxa"/>
                </w:tcPr>
                <w:p w14:paraId="05BBC1D1" w14:textId="76E2E235" w:rsidR="00B7175C" w:rsidRPr="00BC294A" w:rsidRDefault="00B7175C" w:rsidP="00B7175C">
                  <w:pPr>
                    <w:rPr>
                      <w:rFonts w:cstheme="minorHAnsi"/>
                    </w:rPr>
                  </w:pPr>
                  <w:r>
                    <w:rPr>
                      <w:rFonts w:cstheme="minorHAnsi"/>
                    </w:rPr>
                    <w:t>Week 4-6</w:t>
                  </w:r>
                </w:p>
              </w:tc>
              <w:tc>
                <w:tcPr>
                  <w:tcW w:w="6270"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D65CFB">
              <w:tc>
                <w:tcPr>
                  <w:tcW w:w="2427" w:type="dxa"/>
                </w:tcPr>
                <w:p w14:paraId="7178A8BD" w14:textId="060447AB" w:rsidR="00B7175C" w:rsidRPr="00BC294A" w:rsidRDefault="00B7175C" w:rsidP="00B7175C">
                  <w:pPr>
                    <w:rPr>
                      <w:rFonts w:cstheme="minorHAnsi"/>
                    </w:rPr>
                  </w:pPr>
                  <w:r>
                    <w:rPr>
                      <w:rFonts w:cstheme="minorHAnsi"/>
                    </w:rPr>
                    <w:t>Week 2-6</w:t>
                  </w:r>
                </w:p>
              </w:tc>
              <w:tc>
                <w:tcPr>
                  <w:tcW w:w="6270"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B7175C">
              <w:tc>
                <w:tcPr>
                  <w:tcW w:w="2427"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270" w:type="dxa"/>
                  <w:shd w:val="clear" w:color="auto" w:fill="92D050"/>
                  <w:vAlign w:val="center"/>
                </w:tcPr>
                <w:p w14:paraId="589C0088" w14:textId="6C65582E" w:rsidR="00B7175C" w:rsidRPr="00BC294A" w:rsidRDefault="00B7175C" w:rsidP="00B7175C">
                  <w:pPr>
                    <w:rPr>
                      <w:rFonts w:cstheme="minorHAnsi"/>
                    </w:rPr>
                  </w:pPr>
                  <w:r>
                    <w:rPr>
                      <w:rFonts w:ascii="Aptos Narrow" w:hAnsi="Aptos Narrow"/>
                      <w:b/>
                      <w:bCs/>
                      <w:color w:val="000000"/>
                    </w:rPr>
                    <w:t>Milestone: Produced literature matrix.</w:t>
                  </w:r>
                </w:p>
              </w:tc>
            </w:tr>
            <w:tr w:rsidR="00B7175C" w:rsidRPr="00BC294A" w14:paraId="43763AD8" w14:textId="77777777" w:rsidTr="00D65CFB">
              <w:tc>
                <w:tcPr>
                  <w:tcW w:w="2427" w:type="dxa"/>
                </w:tcPr>
                <w:p w14:paraId="3A6CF272" w14:textId="30F5908E" w:rsidR="00B7175C" w:rsidRPr="00BC294A" w:rsidRDefault="00B7175C" w:rsidP="00B7175C">
                  <w:pPr>
                    <w:rPr>
                      <w:rFonts w:cstheme="minorHAnsi"/>
                    </w:rPr>
                  </w:pPr>
                  <w:r>
                    <w:rPr>
                      <w:rFonts w:cstheme="minorHAnsi"/>
                    </w:rPr>
                    <w:t>Week 5</w:t>
                  </w:r>
                </w:p>
              </w:tc>
              <w:tc>
                <w:tcPr>
                  <w:tcW w:w="6270"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D65CFB">
              <w:tc>
                <w:tcPr>
                  <w:tcW w:w="2427" w:type="dxa"/>
                </w:tcPr>
                <w:p w14:paraId="69D109E9" w14:textId="48440362" w:rsidR="00B7175C" w:rsidRPr="00BC294A" w:rsidRDefault="00B7175C" w:rsidP="00B7175C">
                  <w:pPr>
                    <w:rPr>
                      <w:rFonts w:cstheme="minorHAnsi"/>
                    </w:rPr>
                  </w:pPr>
                  <w:r>
                    <w:rPr>
                      <w:rFonts w:cstheme="minorHAnsi"/>
                    </w:rPr>
                    <w:t>Week 5</w:t>
                  </w:r>
                </w:p>
              </w:tc>
              <w:tc>
                <w:tcPr>
                  <w:tcW w:w="6270"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D65CFB">
              <w:tc>
                <w:tcPr>
                  <w:tcW w:w="2427" w:type="dxa"/>
                </w:tcPr>
                <w:p w14:paraId="3CCF27C0" w14:textId="1AA87813" w:rsidR="00B7175C" w:rsidRPr="00BC294A" w:rsidRDefault="00B7175C" w:rsidP="00B7175C">
                  <w:pPr>
                    <w:rPr>
                      <w:rFonts w:cstheme="minorHAnsi"/>
                    </w:rPr>
                  </w:pPr>
                  <w:r>
                    <w:rPr>
                      <w:rFonts w:cstheme="minorHAnsi"/>
                    </w:rPr>
                    <w:t>Week 4-7</w:t>
                  </w:r>
                </w:p>
              </w:tc>
              <w:tc>
                <w:tcPr>
                  <w:tcW w:w="6270"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D65CFB">
              <w:tc>
                <w:tcPr>
                  <w:tcW w:w="2427" w:type="dxa"/>
                </w:tcPr>
                <w:p w14:paraId="31BF0414" w14:textId="48D794D4" w:rsidR="00B7175C" w:rsidRPr="00BC294A" w:rsidRDefault="00B7175C" w:rsidP="00B7175C">
                  <w:pPr>
                    <w:rPr>
                      <w:rFonts w:cstheme="minorHAnsi"/>
                    </w:rPr>
                  </w:pPr>
                  <w:r>
                    <w:rPr>
                      <w:rFonts w:cstheme="minorHAnsi"/>
                    </w:rPr>
                    <w:t>Week 6-7</w:t>
                  </w:r>
                </w:p>
              </w:tc>
              <w:tc>
                <w:tcPr>
                  <w:tcW w:w="6270"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B7175C">
              <w:tc>
                <w:tcPr>
                  <w:tcW w:w="2427"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270" w:type="dxa"/>
                  <w:shd w:val="clear" w:color="auto" w:fill="92D050"/>
                  <w:vAlign w:val="center"/>
                </w:tcPr>
                <w:p w14:paraId="27D836FE" w14:textId="529A817B" w:rsidR="00B7175C" w:rsidRDefault="00B7175C" w:rsidP="00B7175C">
                  <w:pPr>
                    <w:rPr>
                      <w:rFonts w:cstheme="minorHAnsi"/>
                    </w:rPr>
                  </w:pPr>
                  <w:r>
                    <w:rPr>
                      <w:rFonts w:ascii="Aptos Narrow" w:hAnsi="Aptos Narrow"/>
                      <w:b/>
                      <w:bCs/>
                      <w:color w:val="000000"/>
                    </w:rPr>
                    <w:t>Milestone: Literature review draft completed.</w:t>
                  </w:r>
                </w:p>
              </w:tc>
            </w:tr>
            <w:tr w:rsidR="00B7175C" w:rsidRPr="00BC294A" w14:paraId="5E92012D" w14:textId="77777777" w:rsidTr="00D65CFB">
              <w:tc>
                <w:tcPr>
                  <w:tcW w:w="2427" w:type="dxa"/>
                </w:tcPr>
                <w:p w14:paraId="16AFAA20" w14:textId="706BE8B3" w:rsidR="00B7175C" w:rsidRPr="00BC294A" w:rsidRDefault="00B7175C" w:rsidP="00B7175C">
                  <w:pPr>
                    <w:rPr>
                      <w:rFonts w:cstheme="minorHAnsi"/>
                    </w:rPr>
                  </w:pPr>
                  <w:r>
                    <w:rPr>
                      <w:rFonts w:cstheme="minorHAnsi"/>
                    </w:rPr>
                    <w:t>Week 2-3</w:t>
                  </w:r>
                </w:p>
              </w:tc>
              <w:tc>
                <w:tcPr>
                  <w:tcW w:w="6270"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D65CFB">
              <w:tc>
                <w:tcPr>
                  <w:tcW w:w="2427" w:type="dxa"/>
                </w:tcPr>
                <w:p w14:paraId="024A5C8D" w14:textId="5DFB6ED7" w:rsidR="00B7175C" w:rsidRPr="00BC294A" w:rsidRDefault="00B7175C" w:rsidP="00B7175C">
                  <w:pPr>
                    <w:rPr>
                      <w:rFonts w:cstheme="minorHAnsi"/>
                    </w:rPr>
                  </w:pPr>
                  <w:r>
                    <w:rPr>
                      <w:rFonts w:cstheme="minorHAnsi"/>
                    </w:rPr>
                    <w:t>Week 3-4</w:t>
                  </w:r>
                </w:p>
              </w:tc>
              <w:tc>
                <w:tcPr>
                  <w:tcW w:w="6270"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D65CFB">
              <w:tc>
                <w:tcPr>
                  <w:tcW w:w="2427" w:type="dxa"/>
                </w:tcPr>
                <w:p w14:paraId="3CF28BB6" w14:textId="66EE2C1C" w:rsidR="00B7175C" w:rsidRPr="00BC294A" w:rsidRDefault="00B7175C" w:rsidP="00B7175C">
                  <w:pPr>
                    <w:rPr>
                      <w:rFonts w:cstheme="minorHAnsi"/>
                    </w:rPr>
                  </w:pPr>
                  <w:r>
                    <w:rPr>
                      <w:rFonts w:cstheme="minorHAnsi"/>
                    </w:rPr>
                    <w:t>Week 4-5</w:t>
                  </w:r>
                </w:p>
              </w:tc>
              <w:tc>
                <w:tcPr>
                  <w:tcW w:w="6270"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B7175C">
              <w:tc>
                <w:tcPr>
                  <w:tcW w:w="2427"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270" w:type="dxa"/>
                  <w:shd w:val="clear" w:color="auto" w:fill="92D050"/>
                  <w:vAlign w:val="center"/>
                </w:tcPr>
                <w:p w14:paraId="1F4DC3CF" w14:textId="3EF768E5" w:rsidR="00B7175C" w:rsidRDefault="00B7175C" w:rsidP="00B7175C">
                  <w:pPr>
                    <w:rPr>
                      <w:rFonts w:cstheme="minorHAnsi"/>
                    </w:rPr>
                  </w:pPr>
                  <w:r>
                    <w:rPr>
                      <w:rFonts w:ascii="Aptos Narrow" w:hAnsi="Aptos Narrow"/>
                      <w:b/>
                      <w:bCs/>
                      <w:color w:val="000000"/>
                    </w:rPr>
                    <w:t>Milestone: 2D shape dataset &amp; processed.</w:t>
                  </w:r>
                </w:p>
              </w:tc>
            </w:tr>
            <w:tr w:rsidR="00B7175C" w:rsidRPr="00BC294A" w14:paraId="140A2EA8" w14:textId="77777777" w:rsidTr="00D65CFB">
              <w:tc>
                <w:tcPr>
                  <w:tcW w:w="2427" w:type="dxa"/>
                </w:tcPr>
                <w:p w14:paraId="24EAD9C7" w14:textId="00152D5B" w:rsidR="00B7175C" w:rsidRPr="00BC294A" w:rsidRDefault="00B7175C" w:rsidP="00B7175C">
                  <w:pPr>
                    <w:rPr>
                      <w:rFonts w:cstheme="minorHAnsi"/>
                    </w:rPr>
                  </w:pPr>
                  <w:r>
                    <w:rPr>
                      <w:rFonts w:cstheme="minorHAnsi"/>
                    </w:rPr>
                    <w:t>Week 6</w:t>
                  </w:r>
                </w:p>
              </w:tc>
              <w:tc>
                <w:tcPr>
                  <w:tcW w:w="6270"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D65CFB">
              <w:tc>
                <w:tcPr>
                  <w:tcW w:w="2427" w:type="dxa"/>
                </w:tcPr>
                <w:p w14:paraId="5A61C6AF" w14:textId="42048108" w:rsidR="00B7175C" w:rsidRPr="00BC294A" w:rsidRDefault="00B7175C" w:rsidP="00B7175C">
                  <w:pPr>
                    <w:rPr>
                      <w:rFonts w:cstheme="minorHAnsi"/>
                    </w:rPr>
                  </w:pPr>
                  <w:r>
                    <w:rPr>
                      <w:rFonts w:cstheme="minorHAnsi"/>
                    </w:rPr>
                    <w:t>Week 6-9</w:t>
                  </w:r>
                </w:p>
              </w:tc>
              <w:tc>
                <w:tcPr>
                  <w:tcW w:w="6270"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D65CFB">
              <w:tc>
                <w:tcPr>
                  <w:tcW w:w="2427" w:type="dxa"/>
                </w:tcPr>
                <w:p w14:paraId="7DC4723A" w14:textId="36F8CAF5" w:rsidR="00B7175C" w:rsidRPr="00BC294A" w:rsidRDefault="00B7175C" w:rsidP="00B7175C">
                  <w:pPr>
                    <w:rPr>
                      <w:rFonts w:cstheme="minorHAnsi"/>
                    </w:rPr>
                  </w:pPr>
                  <w:r>
                    <w:rPr>
                      <w:rFonts w:cstheme="minorHAnsi"/>
                    </w:rPr>
                    <w:t>Week 8-10</w:t>
                  </w:r>
                </w:p>
              </w:tc>
              <w:tc>
                <w:tcPr>
                  <w:tcW w:w="6270"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D65CFB">
              <w:tc>
                <w:tcPr>
                  <w:tcW w:w="2427" w:type="dxa"/>
                </w:tcPr>
                <w:p w14:paraId="0A5B6F11" w14:textId="08F64B7A" w:rsidR="00B7175C" w:rsidRPr="00BC294A" w:rsidRDefault="00B7175C" w:rsidP="00B7175C">
                  <w:pPr>
                    <w:rPr>
                      <w:rFonts w:cstheme="minorHAnsi"/>
                    </w:rPr>
                  </w:pPr>
                  <w:r>
                    <w:rPr>
                      <w:rFonts w:cstheme="minorHAnsi"/>
                    </w:rPr>
                    <w:t>Week 8-10</w:t>
                  </w:r>
                </w:p>
              </w:tc>
              <w:tc>
                <w:tcPr>
                  <w:tcW w:w="6270"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B7175C">
              <w:tc>
                <w:tcPr>
                  <w:tcW w:w="2427"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270" w:type="dxa"/>
                  <w:shd w:val="clear" w:color="auto" w:fill="92D050"/>
                  <w:vAlign w:val="center"/>
                </w:tcPr>
                <w:p w14:paraId="49587465" w14:textId="006F5A3F"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p>
              </w:tc>
            </w:tr>
            <w:tr w:rsidR="00B7175C" w:rsidRPr="00BC294A" w14:paraId="4E666CDD" w14:textId="77777777" w:rsidTr="00D65CFB">
              <w:tc>
                <w:tcPr>
                  <w:tcW w:w="2427" w:type="dxa"/>
                </w:tcPr>
                <w:p w14:paraId="52A10FB2" w14:textId="18501EA0" w:rsidR="00B7175C" w:rsidRPr="00BC294A" w:rsidRDefault="00B7175C" w:rsidP="00B7175C">
                  <w:pPr>
                    <w:rPr>
                      <w:rFonts w:cstheme="minorHAnsi"/>
                    </w:rPr>
                  </w:pPr>
                  <w:r>
                    <w:rPr>
                      <w:rFonts w:cstheme="minorHAnsi"/>
                    </w:rPr>
                    <w:t>Week 9-11</w:t>
                  </w:r>
                </w:p>
              </w:tc>
              <w:tc>
                <w:tcPr>
                  <w:tcW w:w="6270"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D65CFB">
              <w:tc>
                <w:tcPr>
                  <w:tcW w:w="2427" w:type="dxa"/>
                </w:tcPr>
                <w:p w14:paraId="5B452C91" w14:textId="16FDEA9D" w:rsidR="00B7175C" w:rsidRPr="00BC294A" w:rsidRDefault="00EB6257" w:rsidP="00B7175C">
                  <w:pPr>
                    <w:rPr>
                      <w:rFonts w:cstheme="minorHAnsi"/>
                    </w:rPr>
                  </w:pPr>
                  <w:r>
                    <w:rPr>
                      <w:rFonts w:cstheme="minorHAnsi"/>
                    </w:rPr>
                    <w:t>Week 11-13</w:t>
                  </w:r>
                </w:p>
              </w:tc>
              <w:tc>
                <w:tcPr>
                  <w:tcW w:w="6270"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D65CFB">
              <w:tc>
                <w:tcPr>
                  <w:tcW w:w="2427" w:type="dxa"/>
                </w:tcPr>
                <w:p w14:paraId="31D1B909" w14:textId="5ACA36E3" w:rsidR="00B7175C" w:rsidRPr="00BC294A" w:rsidRDefault="00EB6257" w:rsidP="00B7175C">
                  <w:pPr>
                    <w:rPr>
                      <w:rFonts w:cstheme="minorHAnsi"/>
                    </w:rPr>
                  </w:pPr>
                  <w:r>
                    <w:rPr>
                      <w:rFonts w:cstheme="minorHAnsi"/>
                    </w:rPr>
                    <w:t>Week 13-14</w:t>
                  </w:r>
                </w:p>
              </w:tc>
              <w:tc>
                <w:tcPr>
                  <w:tcW w:w="6270"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EB6257">
              <w:tc>
                <w:tcPr>
                  <w:tcW w:w="2427"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270" w:type="dxa"/>
                  <w:shd w:val="clear" w:color="auto" w:fill="92D050"/>
                  <w:vAlign w:val="center"/>
                </w:tcPr>
                <w:p w14:paraId="5C8E4FEC" w14:textId="5B7BD77B"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p>
              </w:tc>
            </w:tr>
            <w:tr w:rsidR="00B7175C" w:rsidRPr="00BC294A" w14:paraId="0F9D296B" w14:textId="77777777" w:rsidTr="00D65CFB">
              <w:tc>
                <w:tcPr>
                  <w:tcW w:w="2427" w:type="dxa"/>
                </w:tcPr>
                <w:p w14:paraId="10FA7178" w14:textId="6AA6AFEE" w:rsidR="00B7175C" w:rsidRPr="00BC294A" w:rsidRDefault="00EB6257" w:rsidP="00B7175C">
                  <w:pPr>
                    <w:rPr>
                      <w:rFonts w:cstheme="minorHAnsi"/>
                    </w:rPr>
                  </w:pPr>
                  <w:r>
                    <w:rPr>
                      <w:rFonts w:cstheme="minorHAnsi"/>
                    </w:rPr>
                    <w:t>Week 14-18</w:t>
                  </w:r>
                </w:p>
              </w:tc>
              <w:tc>
                <w:tcPr>
                  <w:tcW w:w="6270"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D65CFB">
              <w:tc>
                <w:tcPr>
                  <w:tcW w:w="2427" w:type="dxa"/>
                </w:tcPr>
                <w:p w14:paraId="5C82F23F" w14:textId="51230303" w:rsidR="00B7175C" w:rsidRPr="00BC294A" w:rsidRDefault="00EB6257" w:rsidP="00B7175C">
                  <w:pPr>
                    <w:rPr>
                      <w:rFonts w:cstheme="minorHAnsi"/>
                    </w:rPr>
                  </w:pPr>
                  <w:r>
                    <w:rPr>
                      <w:rFonts w:cstheme="minorHAnsi"/>
                    </w:rPr>
                    <w:t>Week 19-21</w:t>
                  </w:r>
                </w:p>
              </w:tc>
              <w:tc>
                <w:tcPr>
                  <w:tcW w:w="6270"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EB6257">
              <w:tc>
                <w:tcPr>
                  <w:tcW w:w="2427"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270"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bl>
          <w:p w14:paraId="07D638CD" w14:textId="77777777" w:rsidR="00B32B50" w:rsidRDefault="00B32B50" w:rsidP="00853CF9">
            <w:pPr>
              <w:rPr>
                <w:rFonts w:cstheme="minorHAnsi"/>
                <w:b/>
                <w:bCs/>
              </w:rPr>
            </w:pPr>
          </w:p>
          <w:p w14:paraId="40B68B2B" w14:textId="1296CCD5" w:rsidR="00C5183F" w:rsidRPr="00BC294A" w:rsidRDefault="00C5183F" w:rsidP="00853CF9">
            <w:pPr>
              <w:rPr>
                <w:rFonts w:cstheme="minorHAnsi"/>
                <w:b/>
                <w:bCs/>
              </w:rPr>
            </w:pPr>
            <w:r>
              <w:rPr>
                <w:rFonts w:cstheme="minorHAnsi"/>
                <w:b/>
                <w:bCs/>
              </w:rPr>
              <w:t>***See table on page 9 for full project plan.</w:t>
            </w: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19"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9F152EE"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Default="00944243" w:rsidP="00F76C8C">
      <w:pPr>
        <w:spacing w:after="0" w:line="240" w:lineRule="auto"/>
        <w:rPr>
          <w:sz w:val="24"/>
          <w:szCs w:val="24"/>
        </w:rPr>
      </w:pPr>
    </w:p>
    <w:p w14:paraId="6CF64043" w14:textId="77777777" w:rsidR="00D5744B" w:rsidRDefault="00D5744B" w:rsidP="00F76C8C">
      <w:pPr>
        <w:spacing w:after="0" w:line="240" w:lineRule="auto"/>
        <w:rPr>
          <w:sz w:val="24"/>
          <w:szCs w:val="24"/>
        </w:rPr>
      </w:pPr>
    </w:p>
    <w:p w14:paraId="749DD5D1" w14:textId="77777777" w:rsidR="00D5744B" w:rsidRDefault="00D5744B" w:rsidP="00F76C8C">
      <w:pPr>
        <w:spacing w:after="0" w:line="240" w:lineRule="auto"/>
        <w:rPr>
          <w:sz w:val="24"/>
          <w:szCs w:val="24"/>
        </w:rPr>
      </w:pPr>
    </w:p>
    <w:p w14:paraId="0EFDB0BE" w14:textId="77777777" w:rsidR="00D5744B" w:rsidRDefault="00D5744B" w:rsidP="00F76C8C">
      <w:pPr>
        <w:spacing w:after="0" w:line="240" w:lineRule="auto"/>
        <w:rPr>
          <w:sz w:val="24"/>
          <w:szCs w:val="24"/>
        </w:rPr>
      </w:pPr>
    </w:p>
    <w:p w14:paraId="75F2C9B6" w14:textId="77777777" w:rsidR="00D5744B" w:rsidRDefault="00D5744B" w:rsidP="00F76C8C">
      <w:pPr>
        <w:spacing w:after="0" w:line="240" w:lineRule="auto"/>
        <w:rPr>
          <w:sz w:val="24"/>
          <w:szCs w:val="24"/>
        </w:rPr>
      </w:pPr>
    </w:p>
    <w:p w14:paraId="43D5BDF4" w14:textId="77777777" w:rsidR="00D5744B" w:rsidRDefault="00D5744B" w:rsidP="00F76C8C">
      <w:pPr>
        <w:spacing w:after="0" w:line="240" w:lineRule="auto"/>
        <w:rPr>
          <w:sz w:val="24"/>
          <w:szCs w:val="24"/>
        </w:rPr>
      </w:pPr>
    </w:p>
    <w:p w14:paraId="63882E99" w14:textId="77777777" w:rsidR="00D5744B" w:rsidRDefault="00D5744B" w:rsidP="00F76C8C">
      <w:pPr>
        <w:spacing w:after="0" w:line="240" w:lineRule="auto"/>
        <w:rPr>
          <w:sz w:val="24"/>
          <w:szCs w:val="24"/>
        </w:rPr>
      </w:pPr>
    </w:p>
    <w:p w14:paraId="488E29A6" w14:textId="48F435FA" w:rsidR="00D5744B" w:rsidRPr="00BC294A" w:rsidRDefault="00D5744B" w:rsidP="00D5744B">
      <w:pPr>
        <w:spacing w:after="0" w:line="240" w:lineRule="auto"/>
        <w:jc w:val="center"/>
        <w:rPr>
          <w:sz w:val="24"/>
          <w:szCs w:val="24"/>
        </w:rPr>
      </w:pPr>
      <w:r w:rsidRPr="00D5744B">
        <w:rPr>
          <w:sz w:val="24"/>
          <w:szCs w:val="24"/>
        </w:rPr>
        <w:lastRenderedPageBreak/>
        <w:drawing>
          <wp:inline distT="0" distB="0" distL="0" distR="0" wp14:anchorId="5BC794A8" wp14:editId="7C9162D8">
            <wp:extent cx="8844194" cy="2985626"/>
            <wp:effectExtent l="0" t="4445" r="3810" b="3810"/>
            <wp:docPr id="44958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4216" name=""/>
                    <pic:cNvPicPr/>
                  </pic:nvPicPr>
                  <pic:blipFill>
                    <a:blip r:embed="rId20"/>
                    <a:stretch>
                      <a:fillRect/>
                    </a:stretch>
                  </pic:blipFill>
                  <pic:spPr>
                    <a:xfrm rot="16200000">
                      <a:off x="0" y="0"/>
                      <a:ext cx="8879708" cy="2997615"/>
                    </a:xfrm>
                    <a:prstGeom prst="rect">
                      <a:avLst/>
                    </a:prstGeom>
                  </pic:spPr>
                </pic:pic>
              </a:graphicData>
            </a:graphic>
          </wp:inline>
        </w:drawing>
      </w:r>
    </w:p>
    <w:sectPr w:rsidR="00D5744B" w:rsidRPr="00BC294A" w:rsidSect="001F04D4">
      <w:headerReference w:type="default" r:id="rId21"/>
      <w:footerReference w:type="even" r:id="rId22"/>
      <w:footerReference w:type="default" r:id="rId2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61EC8" w14:textId="77777777" w:rsidR="003A705E" w:rsidRDefault="003A705E" w:rsidP="00822643">
      <w:pPr>
        <w:spacing w:after="0" w:line="240" w:lineRule="auto"/>
      </w:pPr>
      <w:r>
        <w:separator/>
      </w:r>
    </w:p>
  </w:endnote>
  <w:endnote w:type="continuationSeparator" w:id="0">
    <w:p w14:paraId="11EBBC0B" w14:textId="77777777" w:rsidR="003A705E" w:rsidRDefault="003A705E" w:rsidP="00822643">
      <w:pPr>
        <w:spacing w:after="0" w:line="240" w:lineRule="auto"/>
      </w:pPr>
      <w:r>
        <w:continuationSeparator/>
      </w:r>
    </w:p>
  </w:endnote>
  <w:endnote w:type="continuationNotice" w:id="1">
    <w:p w14:paraId="742839B1" w14:textId="77777777" w:rsidR="003A705E" w:rsidRDefault="003A7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560210"/>
      <w:docPartObj>
        <w:docPartGallery w:val="Page Numbers (Bottom of Page)"/>
        <w:docPartUnique/>
      </w:docPartObj>
    </w:sdtPr>
    <w:sdtContent>
      <w:p w14:paraId="4643A49F" w14:textId="5E60591E"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08CBA" w14:textId="77777777" w:rsidR="00C5183F" w:rsidRDefault="00C5183F" w:rsidP="00C5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8713959"/>
      <w:docPartObj>
        <w:docPartGallery w:val="Page Numbers (Bottom of Page)"/>
        <w:docPartUnique/>
      </w:docPartObj>
    </w:sdtPr>
    <w:sdtContent>
      <w:p w14:paraId="0384F56A" w14:textId="29F8F27F"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34EDA" w14:textId="77777777" w:rsidR="00C5183F" w:rsidRDefault="00C5183F" w:rsidP="00C5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E403F" w14:textId="77777777" w:rsidR="003A705E" w:rsidRDefault="003A705E" w:rsidP="00822643">
      <w:pPr>
        <w:spacing w:after="0" w:line="240" w:lineRule="auto"/>
      </w:pPr>
      <w:r>
        <w:separator/>
      </w:r>
    </w:p>
  </w:footnote>
  <w:footnote w:type="continuationSeparator" w:id="0">
    <w:p w14:paraId="28E973D6" w14:textId="77777777" w:rsidR="003A705E" w:rsidRDefault="003A705E" w:rsidP="00822643">
      <w:pPr>
        <w:spacing w:after="0" w:line="240" w:lineRule="auto"/>
      </w:pPr>
      <w:r>
        <w:continuationSeparator/>
      </w:r>
    </w:p>
  </w:footnote>
  <w:footnote w:type="continuationNotice" w:id="1">
    <w:p w14:paraId="661F4E22" w14:textId="77777777" w:rsidR="003A705E" w:rsidRDefault="003A70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A705E"/>
    <w:rsid w:val="003B50EB"/>
    <w:rsid w:val="003B6CE0"/>
    <w:rsid w:val="003C31A6"/>
    <w:rsid w:val="003C3345"/>
    <w:rsid w:val="003D2CCE"/>
    <w:rsid w:val="003D7E37"/>
    <w:rsid w:val="003F26CB"/>
    <w:rsid w:val="0040370A"/>
    <w:rsid w:val="00407EB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A2F88"/>
    <w:rsid w:val="007A78F6"/>
    <w:rsid w:val="007B4CCA"/>
    <w:rsid w:val="007D1A5A"/>
    <w:rsid w:val="007D4D4F"/>
    <w:rsid w:val="007D4F23"/>
    <w:rsid w:val="007E2102"/>
    <w:rsid w:val="007E2429"/>
    <w:rsid w:val="007F1C38"/>
    <w:rsid w:val="007F2B04"/>
    <w:rsid w:val="007F5E05"/>
    <w:rsid w:val="00821BDD"/>
    <w:rsid w:val="00822643"/>
    <w:rsid w:val="00826D33"/>
    <w:rsid w:val="00830BB3"/>
    <w:rsid w:val="00832D5F"/>
    <w:rsid w:val="00835802"/>
    <w:rsid w:val="0085361A"/>
    <w:rsid w:val="00853CF9"/>
    <w:rsid w:val="00872235"/>
    <w:rsid w:val="008814E2"/>
    <w:rsid w:val="008818FA"/>
    <w:rsid w:val="00891C23"/>
    <w:rsid w:val="00895550"/>
    <w:rsid w:val="008A4F9F"/>
    <w:rsid w:val="008B15B7"/>
    <w:rsid w:val="008B4A1C"/>
    <w:rsid w:val="008D2471"/>
    <w:rsid w:val="008D49D3"/>
    <w:rsid w:val="008E7DCC"/>
    <w:rsid w:val="008F13BA"/>
    <w:rsid w:val="008F2EA3"/>
    <w:rsid w:val="0090122D"/>
    <w:rsid w:val="00906A74"/>
    <w:rsid w:val="00910BE7"/>
    <w:rsid w:val="009132F6"/>
    <w:rsid w:val="0092175F"/>
    <w:rsid w:val="00924132"/>
    <w:rsid w:val="00930FCD"/>
    <w:rsid w:val="00937F94"/>
    <w:rsid w:val="00941743"/>
    <w:rsid w:val="00944243"/>
    <w:rsid w:val="00947219"/>
    <w:rsid w:val="009477EA"/>
    <w:rsid w:val="00986B3D"/>
    <w:rsid w:val="00991C2C"/>
    <w:rsid w:val="009948B5"/>
    <w:rsid w:val="00996A5D"/>
    <w:rsid w:val="009A2624"/>
    <w:rsid w:val="009A3EB6"/>
    <w:rsid w:val="009B0B3B"/>
    <w:rsid w:val="009C3985"/>
    <w:rsid w:val="009E749A"/>
    <w:rsid w:val="009F4943"/>
    <w:rsid w:val="009F6852"/>
    <w:rsid w:val="00A00503"/>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14F86"/>
    <w:rsid w:val="00B23E81"/>
    <w:rsid w:val="00B258DA"/>
    <w:rsid w:val="00B27E0B"/>
    <w:rsid w:val="00B32B50"/>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183F"/>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5FD6"/>
    <w:rsid w:val="00D225B4"/>
    <w:rsid w:val="00D337B5"/>
    <w:rsid w:val="00D519CE"/>
    <w:rsid w:val="00D530D9"/>
    <w:rsid w:val="00D55993"/>
    <w:rsid w:val="00D5744B"/>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07BE2"/>
    <w:rsid w:val="00E139D5"/>
    <w:rsid w:val="00E2357B"/>
    <w:rsid w:val="00E32B58"/>
    <w:rsid w:val="00E437D0"/>
    <w:rsid w:val="00E46C27"/>
    <w:rsid w:val="00E55192"/>
    <w:rsid w:val="00E60649"/>
    <w:rsid w:val="00E61C1A"/>
    <w:rsid w:val="00E62493"/>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 w:type="character" w:styleId="PageNumber">
    <w:name w:val="page number"/>
    <w:basedOn w:val="DefaultParagraphFont"/>
    <w:uiPriority w:val="99"/>
    <w:semiHidden/>
    <w:unhideWhenUsed/>
    <w:rsid w:val="00C5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26219256">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autcon.2021.103664" TargetMode="External"/><Relationship Id="rId18" Type="http://schemas.openxmlformats.org/officeDocument/2006/relationships/hyperlink" Target="mailto:Mark.Hobbs@Rolls-Royce.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hyperlink" Target="https://doi.org/10.1007/978-3-642-21292-5_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38/s41598-024-76983-w"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016/j.cie.2007.06.010" TargetMode="External"/><Relationship Id="rId23" Type="http://schemas.openxmlformats.org/officeDocument/2006/relationships/footer" Target="footer2.xml"/><Relationship Id="rId10" Type="http://schemas.openxmlformats.org/officeDocument/2006/relationships/hyperlink" Target="https://doi.org/10.1109/CVPR.2019.00025" TargetMode="External"/><Relationship Id="rId19" Type="http://schemas.openxmlformats.org/officeDocument/2006/relationships/hyperlink" Target="https://github.com/jhell1717/MScProject2025/tree/Plan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echmachtheory.2006.10.00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23</cp:revision>
  <cp:lastPrinted>2025-03-03T19:10:00Z</cp:lastPrinted>
  <dcterms:created xsi:type="dcterms:W3CDTF">2025-03-03T19:10:00Z</dcterms:created>
  <dcterms:modified xsi:type="dcterms:W3CDTF">2025-03-04T21:19:00Z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