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52" w:rsidRDefault="00B22EEC" w:rsidP="00B64852">
      <w:pPr>
        <w:ind w:left="3969"/>
        <w:jc w:val="both"/>
        <w:rPr>
          <w:rStyle w:val="fontstyle01"/>
        </w:rPr>
      </w:pP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 P</w:t>
      </w:r>
      <w:r w:rsidR="001A0F26">
        <w:rPr>
          <w:rStyle w:val="fontstyle01"/>
        </w:rPr>
        <w:t>REFEITO MUNICIPAL DE PINHEIRO</w:t>
      </w:r>
      <w:r>
        <w:rPr>
          <w:rStyle w:val="fontstyle01"/>
        </w:rPr>
        <w:t>, no uso da atribuição que lhe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confere a Lei Orgânica do Município, e tendo em vista a grave crise por que se</w:t>
      </w:r>
      <w:r>
        <w:rPr>
          <w:rFonts w:ascii="Arial" w:hAnsi="Arial" w:cs="Arial"/>
          <w:color w:val="000000"/>
        </w:rPr>
        <w:br/>
      </w:r>
      <w:r w:rsidR="00B64852">
        <w:rPr>
          <w:rStyle w:val="fontstyle01"/>
        </w:rPr>
        <w:t>passam as finanças públicas,</w:t>
      </w:r>
    </w:p>
    <w:p w:rsidR="00B64852" w:rsidRDefault="00B64852" w:rsidP="00B64852">
      <w:pPr>
        <w:ind w:left="3969"/>
        <w:jc w:val="both"/>
        <w:rPr>
          <w:rStyle w:val="fontstyle01"/>
        </w:rPr>
      </w:pPr>
    </w:p>
    <w:p w:rsidR="001A0F26" w:rsidRDefault="00B22EEC" w:rsidP="00B64852">
      <w:pPr>
        <w:jc w:val="both"/>
        <w:rPr>
          <w:rStyle w:val="fontstyle01"/>
        </w:rPr>
      </w:pPr>
      <w:r>
        <w:rPr>
          <w:rStyle w:val="fontstyle01"/>
        </w:rPr>
        <w:t>DECRETA:</w:t>
      </w:r>
    </w:p>
    <w:p w:rsidR="00B9667F" w:rsidRDefault="00B9667F" w:rsidP="00B9667F">
      <w:pPr>
        <w:spacing w:after="0"/>
        <w:ind w:firstLine="1134"/>
        <w:jc w:val="both"/>
        <w:rPr>
          <w:rStyle w:val="fontstyle01"/>
        </w:rPr>
      </w:pPr>
    </w:p>
    <w:p w:rsidR="001A0F26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Art. 1º. São prestadoras de serviços de fornecimento e administração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de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cartões de crédito e débito,</w:t>
      </w:r>
      <w:r w:rsidR="00E77FEE">
        <w:rPr>
          <w:rStyle w:val="fontstyle01"/>
        </w:rPr>
        <w:t xml:space="preserve"> previstos nos itens 15.01 e 15.</w:t>
      </w:r>
      <w:r>
        <w:rPr>
          <w:rStyle w:val="fontstyle01"/>
        </w:rPr>
        <w:t>14 da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Lista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Anexa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à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Lei Complementar nº 116/2003, as empresas administradoras de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cartões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(bandeiras) que mantiverem contratos com pessoas físicas ou jurídicas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sediadas neste município, e tomadore</w:t>
      </w:r>
      <w:r w:rsidR="00E77FEE">
        <w:rPr>
          <w:rStyle w:val="fontstyle01"/>
        </w:rPr>
        <w:t>s desses serviços que</w:t>
      </w:r>
      <w:r>
        <w:rPr>
          <w:rStyle w:val="fontstyle01"/>
        </w:rPr>
        <w:t xml:space="preserve"> operarem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equipamentos eletrônicos q</w:t>
      </w:r>
      <w:r w:rsidR="00E77FEE">
        <w:rPr>
          <w:rStyle w:val="fontstyle01"/>
        </w:rPr>
        <w:t>ue processem vendas de bens mate</w:t>
      </w:r>
      <w:r>
        <w:rPr>
          <w:rStyle w:val="fontstyle01"/>
        </w:rPr>
        <w:t>ria</w:t>
      </w:r>
      <w:r w:rsidR="00E77FEE">
        <w:rPr>
          <w:rStyle w:val="fontstyle01"/>
        </w:rPr>
        <w:t>i</w:t>
      </w:r>
      <w:r>
        <w:rPr>
          <w:rStyle w:val="fontstyle01"/>
        </w:rPr>
        <w:t>s ou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imateriais através de cartões de crédito e débito.</w:t>
      </w:r>
    </w:p>
    <w:p w:rsidR="00B9667F" w:rsidRDefault="00B22EEC" w:rsidP="00B9667F">
      <w:pPr>
        <w:spacing w:after="0"/>
        <w:ind w:firstLine="1134"/>
        <w:jc w:val="both"/>
        <w:rPr>
          <w:rStyle w:val="fontstyle21"/>
        </w:rPr>
      </w:pPr>
      <w:r>
        <w:rPr>
          <w:rStyle w:val="fontstyle21"/>
        </w:rPr>
        <w:t xml:space="preserve">15.01 – </w:t>
      </w:r>
      <w:r>
        <w:rPr>
          <w:rStyle w:val="fontstyle21"/>
          <w:color w:val="FF0000"/>
        </w:rPr>
        <w:t xml:space="preserve">Administração </w:t>
      </w:r>
      <w:r>
        <w:rPr>
          <w:rStyle w:val="fontstyle21"/>
        </w:rPr>
        <w:t>de fundos quaisquer, de consórcio, de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fontstyle21"/>
        </w:rPr>
        <w:t>cartão de crédito ou débito e congêneres, de carteira de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fontstyle21"/>
        </w:rPr>
        <w:t>clientes, de cheques pré-datados e congêneres.</w:t>
      </w:r>
    </w:p>
    <w:p w:rsidR="001A0F26" w:rsidRDefault="00B22EEC" w:rsidP="00B9667F">
      <w:pPr>
        <w:spacing w:after="0"/>
        <w:ind w:firstLine="1134"/>
        <w:jc w:val="both"/>
        <w:rPr>
          <w:rStyle w:val="fontstyle21"/>
        </w:rPr>
      </w:pPr>
      <w:r>
        <w:rPr>
          <w:rStyle w:val="fontstyle21"/>
        </w:rPr>
        <w:t xml:space="preserve">15.14 – </w:t>
      </w:r>
      <w:r>
        <w:rPr>
          <w:rStyle w:val="fontstyle21"/>
          <w:color w:val="FF0000"/>
        </w:rPr>
        <w:t>Fornecimento</w:t>
      </w:r>
      <w:r>
        <w:rPr>
          <w:rStyle w:val="fontstyle21"/>
        </w:rPr>
        <w:t>, emissão, reemissão, renovação e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fontstyle21"/>
        </w:rPr>
        <w:t>manutenção de cartão magnético, cartão de crédito, cartão de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fontstyle21"/>
        </w:rPr>
        <w:t>débito, cartão salário e congêneres.</w:t>
      </w:r>
    </w:p>
    <w:p w:rsidR="001A0F26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 xml:space="preserve">Parágrafo Único: Por </w:t>
      </w:r>
      <w:proofErr w:type="spellStart"/>
      <w:r>
        <w:rPr>
          <w:rStyle w:val="fontstyle01"/>
        </w:rPr>
        <w:t>inexigir</w:t>
      </w:r>
      <w:proofErr w:type="spellEnd"/>
      <w:r>
        <w:rPr>
          <w:rStyle w:val="fontstyle01"/>
        </w:rPr>
        <w:t xml:space="preserve"> a prestação de serviço virtual, via informática,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a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utilização de estabelecimento regular, com alvará e inscrição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fazendária, são atingidos por este Decreto todas as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organizações que prestarem a tomador com endereço nesta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localidade os serviços relacionados a cartões de crédito 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débito transcritos abaixo:</w:t>
      </w:r>
    </w:p>
    <w:p w:rsidR="001A0F26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Art. 2º. Dentro do prazo de 30 dias da publicação deste Decreto, todas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as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pessoas físicas e jurídicas que, nos 5 anos-calendário, realizaram transações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via cartões deverão:</w:t>
      </w:r>
    </w:p>
    <w:p w:rsidR="002F1EF4" w:rsidRDefault="00B22EEC" w:rsidP="00B9667F">
      <w:pPr>
        <w:spacing w:after="0"/>
        <w:ind w:firstLine="1134"/>
        <w:jc w:val="both"/>
        <w:rPr>
          <w:rStyle w:val="fontstyle01"/>
        </w:rPr>
      </w:pPr>
      <w:proofErr w:type="gramStart"/>
      <w:r>
        <w:rPr>
          <w:rStyle w:val="fontstyle01"/>
        </w:rPr>
        <w:t>1) Enviar</w:t>
      </w:r>
      <w:proofErr w:type="gramEnd"/>
      <w:r>
        <w:rPr>
          <w:rStyle w:val="fontstyle01"/>
        </w:rPr>
        <w:t xml:space="preserve"> cópias de seus contratos à Secretaria de Fazenda Municipal,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acompanhadas da informação de quanto pagaram por tais serviços,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separados por administradora e ano;</w:t>
      </w:r>
    </w:p>
    <w:p w:rsidR="002F1EF4" w:rsidRDefault="00B22EEC" w:rsidP="00B9667F">
      <w:pPr>
        <w:spacing w:after="0"/>
        <w:ind w:firstLine="1134"/>
        <w:jc w:val="both"/>
        <w:rPr>
          <w:rStyle w:val="fontstyle01"/>
        </w:rPr>
      </w:pPr>
      <w:proofErr w:type="gramStart"/>
      <w:r>
        <w:rPr>
          <w:rStyle w:val="fontstyle01"/>
        </w:rPr>
        <w:t>2) Requerer</w:t>
      </w:r>
      <w:proofErr w:type="gramEnd"/>
      <w:r>
        <w:rPr>
          <w:rStyle w:val="fontstyle01"/>
        </w:rPr>
        <w:t xml:space="preserve"> alvará de autorização de funcionamento de cada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equipamento eletrônico, em formulário fornecido pela Secretaria da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Fazenda, com validade até dezembro de cada ano.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Parágrafo Único: O descumprimento dessas exigências sujeitará o infrator à</w:t>
      </w:r>
      <w:r>
        <w:rPr>
          <w:rFonts w:ascii="Arial" w:hAnsi="Arial" w:cs="Arial"/>
          <w:color w:val="000000"/>
        </w:rPr>
        <w:br/>
      </w:r>
      <w:r w:rsidR="002F1EF4">
        <w:rPr>
          <w:rStyle w:val="fontstyle01"/>
        </w:rPr>
        <w:t xml:space="preserve">apreensão </w:t>
      </w:r>
      <w:r>
        <w:rPr>
          <w:rStyle w:val="fontstyle01"/>
        </w:rPr>
        <w:t>dos</w:t>
      </w:r>
      <w:r w:rsidR="002F1EF4">
        <w:rPr>
          <w:rStyle w:val="fontstyle01"/>
        </w:rPr>
        <w:t xml:space="preserve"> </w:t>
      </w:r>
      <w:r>
        <w:rPr>
          <w:rStyle w:val="fontstyle01"/>
        </w:rPr>
        <w:t>equipamentos.</w:t>
      </w:r>
    </w:p>
    <w:p w:rsidR="001A0F26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Art. 3º. Os alvarás autorizativos dever</w:t>
      </w:r>
      <w:r w:rsidR="002F1EF4">
        <w:rPr>
          <w:rStyle w:val="fontstyle01"/>
        </w:rPr>
        <w:t xml:space="preserve">ão ser renovados anualmente, no </w:t>
      </w:r>
      <w:r w:rsidR="00631318">
        <w:rPr>
          <w:rStyle w:val="fontstyle01"/>
        </w:rPr>
        <w:t>mês</w:t>
      </w:r>
      <w:r w:rsidR="002F1EF4">
        <w:rPr>
          <w:rStyle w:val="fontstyle01"/>
        </w:rPr>
        <w:t xml:space="preserve"> </w:t>
      </w:r>
      <w:r>
        <w:rPr>
          <w:rStyle w:val="fontstyle01"/>
        </w:rPr>
        <w:t>de</w:t>
      </w:r>
      <w:r w:rsidR="002F1EF4">
        <w:rPr>
          <w:rStyle w:val="fontstyle01"/>
        </w:rPr>
        <w:t xml:space="preserve"> </w:t>
      </w:r>
      <w:r>
        <w:rPr>
          <w:rStyle w:val="fontstyle01"/>
        </w:rPr>
        <w:t>janeiro, e/ou no prazo de 10 dias de substituição do equipamento e/ou</w:t>
      </w:r>
      <w:r w:rsidR="002F1EF4">
        <w:rPr>
          <w:rStyle w:val="fontstyle01"/>
        </w:rPr>
        <w:t xml:space="preserve"> </w:t>
      </w:r>
      <w:r>
        <w:rPr>
          <w:rStyle w:val="fontstyle01"/>
        </w:rPr>
        <w:t>alteração de contrato.</w:t>
      </w:r>
    </w:p>
    <w:p w:rsidR="001A0F26" w:rsidRDefault="00B22EEC" w:rsidP="003B3202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lastRenderedPageBreak/>
        <w:t>Parágrafo Único: Será condição do deferimento de novo alvará a informação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do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custo total dos serviços pagos no ano anterior a cada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administradora de cartões.</w:t>
      </w:r>
    </w:p>
    <w:p w:rsidR="001A0F26" w:rsidRDefault="00B22EEC" w:rsidP="003B3202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Art. 4º. Dentro de 60 dias da publicação deste Decreto, as administradoras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de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cartões que prestam serviços a tomadores aqui sediados, independentemente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de possuírem ou não endereço regular neste território, deverão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inscrever-se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na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Fazenda Municipal e, mensalmente, até o dia 15, prestar as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informações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sobre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os valores dos serviços prestados no período anterior, descriminados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por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tomadores, sob pena de serem autuados por funcionamento irregular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e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terem</w:t>
      </w:r>
      <w:r w:rsidR="003B3202">
        <w:rPr>
          <w:rStyle w:val="fontstyle01"/>
        </w:rPr>
        <w:t xml:space="preserve"> </w:t>
      </w:r>
      <w:r>
        <w:rPr>
          <w:rStyle w:val="fontstyle01"/>
        </w:rPr>
        <w:t>arbitradas em 5% as bases de cálculo das operações não informadas.</w:t>
      </w:r>
    </w:p>
    <w:p w:rsidR="001A0F26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 xml:space="preserve">Art. 5º. As </w:t>
      </w:r>
      <w:r>
        <w:rPr>
          <w:rStyle w:val="fontstyle21"/>
        </w:rPr>
        <w:t>administradoras de cartões de crédito</w:t>
      </w:r>
      <w:r>
        <w:rPr>
          <w:rStyle w:val="fontstyle01"/>
        </w:rPr>
        <w:t>, de cartões de débito em conta</w:t>
      </w:r>
      <w:r w:rsidR="001A0F26">
        <w:rPr>
          <w:rStyle w:val="fontstyle01"/>
        </w:rPr>
        <w:t xml:space="preserve"> </w:t>
      </w:r>
      <w:r>
        <w:rPr>
          <w:rStyle w:val="fontstyle01"/>
        </w:rPr>
        <w:t>corrente, as empresas prestadoras de serviços operacionais relacionados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àquelas administradoras, bem como todas as demais instituições financeiras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congêneres, independentemente do fato de estarem ou não sediadas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no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 xml:space="preserve">Município, </w:t>
      </w:r>
      <w:r>
        <w:rPr>
          <w:rStyle w:val="fontstyle21"/>
        </w:rPr>
        <w:t xml:space="preserve">ficam obrigadas a informar às autoridades fiscais </w:t>
      </w:r>
      <w:r>
        <w:rPr>
          <w:rStyle w:val="fontstyle01"/>
        </w:rPr>
        <w:t>da Administração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Tributária Municipal, observado o disposto no art. 6º da Lei Complementar</w:t>
      </w:r>
      <w:r w:rsidR="00631318">
        <w:rPr>
          <w:rStyle w:val="fontstyle01"/>
        </w:rPr>
        <w:t xml:space="preserve"> </w:t>
      </w:r>
      <w:r>
        <w:rPr>
          <w:rStyle w:val="fontstyle01"/>
        </w:rPr>
        <w:t xml:space="preserve">nº105, de 10 de janeiro de 2001, </w:t>
      </w:r>
      <w:r>
        <w:rPr>
          <w:rStyle w:val="fontstyle21"/>
        </w:rPr>
        <w:t>todos os dados</w:t>
      </w:r>
      <w:r>
        <w:rPr>
          <w:rStyle w:val="fontstyle01"/>
        </w:rPr>
        <w:t>, valores, números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de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contas,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códigos e identificação das respectivas agências bancárias, bem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como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todos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os detalhes acerca das operações financeiras e de quaisquer outros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negócios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jurídicos celebrados por prestadores de serviços cujos pagamentos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sejam</w:t>
      </w:r>
      <w:r w:rsidR="00B9667F">
        <w:rPr>
          <w:rStyle w:val="fontstyle01"/>
        </w:rPr>
        <w:t xml:space="preserve"> </w:t>
      </w:r>
      <w:r>
        <w:rPr>
          <w:rStyle w:val="fontstyle01"/>
        </w:rPr>
        <w:t>realizados por meio de seus sistemas de crédito, débito ou similares,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na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forma,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no prazo e nas condições previstos em regulamento.</w:t>
      </w:r>
    </w:p>
    <w:p w:rsidR="001A0F26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Art. 6º - As alíquotas do ISSQN são as seguintes:</w:t>
      </w:r>
      <w:r>
        <w:rPr>
          <w:rFonts w:ascii="Arial" w:hAnsi="Arial" w:cs="Arial"/>
          <w:color w:val="000000"/>
        </w:rPr>
        <w:br/>
      </w:r>
      <w:r w:rsidR="00011CA7" w:rsidRPr="00011CA7">
        <w:rPr>
          <w:rStyle w:val="fontstyle01"/>
        </w:rPr>
        <w:t>(cinco por cento) 5,00</w:t>
      </w:r>
      <w:r w:rsidRPr="00011CA7">
        <w:rPr>
          <w:rStyle w:val="fontstyle01"/>
        </w:rPr>
        <w:t>%</w:t>
      </w:r>
      <w:r>
        <w:rPr>
          <w:rStyle w:val="fontstyle01"/>
        </w:rPr>
        <w:t xml:space="preserve"> </w:t>
      </w:r>
      <w:r w:rsidR="00011CA7">
        <w:rPr>
          <w:rStyle w:val="fontstyle01"/>
        </w:rPr>
        <w:t>para os serviços prestados pela</w:t>
      </w:r>
      <w:r>
        <w:rPr>
          <w:rStyle w:val="fontstyle01"/>
        </w:rPr>
        <w:t xml:space="preserve"> administração de cartões</w:t>
      </w:r>
      <w:r w:rsidR="00011CA7">
        <w:rPr>
          <w:rStyle w:val="fontstyle01"/>
        </w:rPr>
        <w:t xml:space="preserve"> </w:t>
      </w:r>
      <w:r>
        <w:rPr>
          <w:rStyle w:val="fontstyle01"/>
        </w:rPr>
        <w:t>de</w:t>
      </w:r>
      <w:r w:rsidR="00011CA7">
        <w:rPr>
          <w:rStyle w:val="fontstyle01"/>
        </w:rPr>
        <w:t xml:space="preserve"> </w:t>
      </w:r>
      <w:r>
        <w:rPr>
          <w:rStyle w:val="fontstyle01"/>
        </w:rPr>
        <w:t>crédito ou de débito, inseridos no subitem 15.01 da Lista de Serviços.</w:t>
      </w:r>
    </w:p>
    <w:p w:rsidR="00E77FA5" w:rsidRDefault="00B22EEC" w:rsidP="00B9667F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15.01 - Administração de fundos quaisquer, de consórcio, de cartão de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crédito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ou débito e congêneres, de carteira de clientes, de cheques pré-datados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e</w:t>
      </w:r>
      <w:r w:rsidR="00E77FA5">
        <w:rPr>
          <w:rStyle w:val="fontstyle01"/>
        </w:rPr>
        <w:t xml:space="preserve"> </w:t>
      </w:r>
      <w:r>
        <w:rPr>
          <w:rStyle w:val="fontstyle01"/>
        </w:rPr>
        <w:t>congêneres.</w:t>
      </w:r>
    </w:p>
    <w:p w:rsidR="00E77FA5" w:rsidRDefault="00B22EEC" w:rsidP="00E77FA5">
      <w:pPr>
        <w:spacing w:after="0"/>
        <w:ind w:firstLine="1134"/>
        <w:jc w:val="both"/>
        <w:rPr>
          <w:rStyle w:val="fontstyle01"/>
        </w:rPr>
      </w:pPr>
      <w:r>
        <w:rPr>
          <w:rStyle w:val="fontstyle01"/>
        </w:rPr>
        <w:t>Art. 7º Cartões de Crédito e Débito - Multas por inobservância da lei ou decreto</w:t>
      </w:r>
      <w:r w:rsidR="00E77FA5">
        <w:rPr>
          <w:rStyle w:val="fontstyle01"/>
        </w:rPr>
        <w:t xml:space="preserve">. </w:t>
      </w:r>
      <w:r>
        <w:rPr>
          <w:rStyle w:val="fontstyle01"/>
        </w:rPr>
        <w:t>As seguintes multas incidirão nos casos mencionados abaixo por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descumprimento das obrigações vinculadas ao uso de cartões de crédito 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débito;</w:t>
      </w:r>
    </w:p>
    <w:p w:rsidR="00B64852" w:rsidRDefault="00B22EEC" w:rsidP="00E77FA5">
      <w:pPr>
        <w:spacing w:after="0"/>
        <w:ind w:firstLine="1134"/>
        <w:jc w:val="both"/>
        <w:rPr>
          <w:rStyle w:val="fontstyle01"/>
        </w:rPr>
      </w:pPr>
      <w:r>
        <w:rPr>
          <w:rFonts w:ascii="Arial" w:hAnsi="Arial" w:cs="Arial"/>
          <w:color w:val="000000"/>
        </w:rPr>
        <w:br/>
      </w:r>
      <w:r>
        <w:rPr>
          <w:rStyle w:val="fontstyle21"/>
        </w:rPr>
        <w:t xml:space="preserve">i. </w:t>
      </w:r>
      <w:r>
        <w:rPr>
          <w:rStyle w:val="fontstyle01"/>
        </w:rPr>
        <w:t xml:space="preserve">por deixarem as </w:t>
      </w:r>
      <w:r>
        <w:rPr>
          <w:rStyle w:val="fontstyle41"/>
        </w:rPr>
        <w:t>administradoras de cartões de crédito, de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41"/>
        </w:rPr>
        <w:t xml:space="preserve">cartões de débito </w:t>
      </w:r>
      <w:r>
        <w:rPr>
          <w:rStyle w:val="fontstyle01"/>
        </w:rPr>
        <w:t>em conta corrente, as empresas prestadoras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serviços operacionais relacionados àquelas administradoras, bem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como todas as demais instituições financeiras congêneres,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independentemente do fato de estarem ou não sediadas neste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Município, de apresentar às autoridades fiscais da Administração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Tributária Municipal, observado o disposto no art. 6º da Lei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Complementar nº 105, de 10 de janeiro de 2001, declaração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lastRenderedPageBreak/>
        <w:t>contendo todos os dados, valores, números de contas, códigos 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identificação das respectivas agências bancárias, bem como todos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os detalhes acerca das operações financeiras e de quaisquer outros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negócios jurídicos celebrados por prestadores de serviços cujos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pagamentos sejam realizados por meio de seus sistemas de crédito,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débito ou similares, na forma, no prazo e nas condições previstos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em regulamento: R$</w:t>
      </w:r>
      <w:r w:rsidR="00B64852">
        <w:rPr>
          <w:rStyle w:val="fontstyle01"/>
        </w:rPr>
        <w:t xml:space="preserve"> </w:t>
      </w:r>
      <w:r>
        <w:rPr>
          <w:rStyle w:val="fontstyle01"/>
        </w:rPr>
        <w:t>35.000,00 (trinta e cinco mil reais) por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declaração;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 xml:space="preserve">ii. </w:t>
      </w:r>
      <w:r>
        <w:rPr>
          <w:rStyle w:val="fontstyle01"/>
        </w:rPr>
        <w:t>por declararem incorretamente, indevidamente ou de forma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incompleta, as pessoas definidas no inciso VII do caput deste artigo,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quaisquer dados, valores, números de contas, códigos 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identificação das respectivas agências bancárias, bem como todos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os detalhes acerca das operações financeiras e de quaisquer outros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negócios jurídicos celebrados por prestadores de serviços cujos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pagamentos sejam realizados por meio de seus sistemas de crédito,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débito ou similares, na forma, no prazo e nas condições previstos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em regulamento: R$300,00 (trezentos reais) por informação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incorreta, indevida ou incompleta apresentada, limitada 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R$</w:t>
      </w:r>
      <w:r w:rsidR="00B64852">
        <w:rPr>
          <w:rStyle w:val="fontstyle01"/>
        </w:rPr>
        <w:t xml:space="preserve"> </w:t>
      </w:r>
      <w:r>
        <w:rPr>
          <w:rStyle w:val="fontstyle01"/>
        </w:rPr>
        <w:t>30.000,00 (trinta mil reais) por declaração;</w:t>
      </w:r>
    </w:p>
    <w:p w:rsidR="00B64852" w:rsidRDefault="00B22EEC" w:rsidP="00B64852">
      <w:pPr>
        <w:spacing w:after="0"/>
        <w:jc w:val="both"/>
        <w:rPr>
          <w:rFonts w:ascii="Arial" w:hAnsi="Arial" w:cs="Arial"/>
          <w:i/>
          <w:iCs/>
          <w:color w:val="000000"/>
        </w:rPr>
      </w:pPr>
      <w:proofErr w:type="spellStart"/>
      <w:r>
        <w:rPr>
          <w:rStyle w:val="fontstyle21"/>
        </w:rPr>
        <w:t>iii</w:t>
      </w:r>
      <w:proofErr w:type="spellEnd"/>
      <w:r>
        <w:rPr>
          <w:rStyle w:val="fontstyle21"/>
        </w:rPr>
        <w:t xml:space="preserve">. </w:t>
      </w:r>
      <w:r>
        <w:rPr>
          <w:rStyle w:val="fontstyle01"/>
        </w:rPr>
        <w:t>por deixarem, as pessoas definidas no inciso VII deste artigo,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informar quaisquer dados, valores, números de contas, códigos 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identificação das respectivas agências bancárias, bem como todos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os detalhes acerca das operações financeiras e de quaisquer outros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negócios jurídicos celebrados por prestadores de serviços cujos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pagamentos sejam realizados por meio de seus sistemas de crédito,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débito ou similares, na forma, no prazo e nas condições previstos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em regulamento: </w:t>
      </w:r>
      <w:bookmarkStart w:id="0" w:name="_GoBack"/>
      <w:bookmarkEnd w:id="0"/>
      <w:r>
        <w:rPr>
          <w:rStyle w:val="fontstyle01"/>
        </w:rPr>
        <w:t>R$ 350,00 (trezentos e cinquenta reais) por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informação omitida, limitada a R$35.000,00 (trinta e cinco mil reais)</w:t>
      </w:r>
      <w:r>
        <w:rPr>
          <w:rFonts w:ascii="Arial" w:hAnsi="Arial" w:cs="Arial"/>
          <w:color w:val="000000"/>
        </w:rPr>
        <w:br/>
      </w:r>
      <w:r w:rsidR="00DB382E">
        <w:rPr>
          <w:rStyle w:val="fontstyle01"/>
        </w:rPr>
        <w:t>por</w:t>
      </w:r>
      <w:r w:rsidR="00E77FEE">
        <w:rPr>
          <w:rStyle w:val="fontstyle01"/>
        </w:rPr>
        <w:t xml:space="preserve"> </w:t>
      </w:r>
      <w:r>
        <w:rPr>
          <w:rStyle w:val="fontstyle01"/>
        </w:rPr>
        <w:t>declaração.”.</w:t>
      </w:r>
      <w:r>
        <w:rPr>
          <w:rStyle w:val="fontstyle21"/>
        </w:rPr>
        <w:t>(NR)</w:t>
      </w:r>
    </w:p>
    <w:p w:rsidR="00826A3B" w:rsidRDefault="00B22EEC" w:rsidP="00B64852">
      <w:pPr>
        <w:spacing w:after="0"/>
        <w:ind w:firstLine="1134"/>
        <w:jc w:val="both"/>
      </w:pPr>
      <w:r>
        <w:rPr>
          <w:rStyle w:val="fontstyle01"/>
        </w:rPr>
        <w:t>Art. 8º. Este Decreto entra em vigor na data de sua publicação.</w:t>
      </w:r>
    </w:p>
    <w:sectPr w:rsidR="00826A3B" w:rsidSect="0082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2EEC"/>
    <w:rsid w:val="00011CA7"/>
    <w:rsid w:val="001A0F26"/>
    <w:rsid w:val="002F1EF4"/>
    <w:rsid w:val="003B3202"/>
    <w:rsid w:val="00631318"/>
    <w:rsid w:val="00826A3B"/>
    <w:rsid w:val="00AB1495"/>
    <w:rsid w:val="00B22EEC"/>
    <w:rsid w:val="00B64852"/>
    <w:rsid w:val="00B9667F"/>
    <w:rsid w:val="00DB382E"/>
    <w:rsid w:val="00E7213D"/>
    <w:rsid w:val="00E77FA5"/>
    <w:rsid w:val="00E7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BBF8"/>
  <w15:docId w15:val="{B5AA84EB-FF65-42C8-9491-B142B38E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B22EE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B22EEC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B22E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B22EE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</dc:creator>
  <cp:lastModifiedBy>Marcelo Tadeu da Silva Santos</cp:lastModifiedBy>
  <cp:revision>4</cp:revision>
  <dcterms:created xsi:type="dcterms:W3CDTF">2017-09-12T21:19:00Z</dcterms:created>
  <dcterms:modified xsi:type="dcterms:W3CDTF">2017-09-13T17:58:00Z</dcterms:modified>
</cp:coreProperties>
</file>