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GERENCIAL DE VENTAS</w:t>
      </w:r>
    </w:p>
    <w:p>
      <w:pPr>
        <w:pStyle w:val="Heading1"/>
        <w:jc w:val="center"/>
      </w:pPr>
      <w:r>
        <w:t>DataRetail AI</w:t>
      </w:r>
    </w:p>
    <w:p>
      <w:r>
        <w:t>Periodo: 05/01/2026 - 10/01/2026</w:t>
      </w:r>
    </w:p>
    <w:p>
      <w:r>
        <w:t>Fecha de generación: 30/09/2026 20:47</w:t>
      </w:r>
    </w:p>
    <w:p>
      <w:r>
        <w:t>Versión: 1.0</w:t>
      </w:r>
    </w:p>
    <w:p>
      <w:pPr>
        <w:pStyle w:val="Heading2"/>
      </w:pPr>
      <w:r>
        <w:t>1. Resumen Ejecutivo</w:t>
      </w:r>
    </w:p>
    <w:p>
      <w:r>
        <w:t>El presente informe analiza el desempeño comercial de DataRetail AI durante el periodo 05/01/2026 - 10/01/2026.</w:t>
      </w:r>
    </w:p>
    <w:p>
      <w:pPr>
        <w:pStyle w:val="Heading3"/>
      </w:pPr>
      <w:r>
        <w:t>Indicadores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Ventas</w:t>
            </w:r>
          </w:p>
        </w:tc>
        <w:tc>
          <w:tcPr>
            <w:tcW w:type="dxa" w:w="4320"/>
          </w:tcPr>
          <w:p>
            <w:r>
              <w:t>$291.25</w:t>
            </w:r>
          </w:p>
        </w:tc>
      </w:tr>
      <w:tr>
        <w:tc>
          <w:tcPr>
            <w:tcW w:type="dxa" w:w="4320"/>
          </w:tcPr>
          <w:p>
            <w:r>
              <w:t>Número de Ventas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Unidades Vendidas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Utilidad Estimada</w:t>
            </w:r>
          </w:p>
        </w:tc>
        <w:tc>
          <w:tcPr>
            <w:tcW w:type="dxa" w:w="4320"/>
          </w:tcPr>
          <w:p>
            <w:r>
              <w:t>$102.50</w:t>
            </w:r>
          </w:p>
        </w:tc>
      </w:tr>
      <w:tr>
        <w:tc>
          <w:tcPr>
            <w:tcW w:type="dxa" w:w="4320"/>
          </w:tcPr>
          <w:p>
            <w:r>
              <w:t>Margen %</w:t>
            </w:r>
          </w:p>
        </w:tc>
        <w:tc>
          <w:tcPr>
            <w:tcW w:type="dxa" w:w="4320"/>
          </w:tcPr>
          <w:p>
            <w:r>
              <w:t>35.2%</w:t>
            </w:r>
          </w:p>
        </w:tc>
      </w:tr>
      <w:tr>
        <w:tc>
          <w:tcPr>
            <w:tcW w:type="dxa" w:w="4320"/>
          </w:tcPr>
          <w:p>
            <w:r>
              <w:t>Ticket Promedio</w:t>
            </w:r>
          </w:p>
        </w:tc>
        <w:tc>
          <w:tcPr>
            <w:tcW w:type="dxa" w:w="4320"/>
          </w:tcPr>
          <w:p>
            <w:r>
              <w:t>$48.54</w:t>
            </w:r>
          </w:p>
        </w:tc>
      </w:tr>
    </w:tbl>
    <w:p>
      <w:pPr>
        <w:pStyle w:val="Heading2"/>
      </w:pPr>
      <w:r>
        <w:t>2. Resultados Generales</w:t>
      </w:r>
    </w:p>
    <w:p>
      <w:pPr>
        <w:pStyle w:val="Heading3"/>
      </w:pPr>
      <w:r>
        <w:t>2.1 Evolución de Ventas</w:t>
      </w:r>
    </w:p>
    <w:p>
      <w:r>
        <w:drawing>
          <wp:inline xmlns:a="http://schemas.openxmlformats.org/drawingml/2006/main" xmlns:pic="http://schemas.openxmlformats.org/drawingml/2006/picture">
            <wp:extent cx="5486400" cy="2251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end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Ventas por Categoría</w:t>
      </w:r>
    </w:p>
    <w:p>
      <w:r>
        <w:drawing>
          <wp:inline xmlns:a="http://schemas.openxmlformats.org/drawingml/2006/main" xmlns:pic="http://schemas.openxmlformats.org/drawingml/2006/picture">
            <wp:extent cx="5486400" cy="3259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tegor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Ventas por Canal</w:t>
      </w:r>
    </w:p>
    <w:p>
      <w:r>
        <w:drawing>
          <wp:inline xmlns:a="http://schemas.openxmlformats.org/drawingml/2006/main" xmlns:pic="http://schemas.openxmlformats.org/drawingml/2006/picture">
            <wp:extent cx="5486400" cy="3263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2.4 Análisis Geoespacial</w:t>
      </w:r>
    </w:p>
    <w:p>
      <w:r>
        <w:drawing>
          <wp:inline xmlns:a="http://schemas.openxmlformats.org/drawingml/2006/main" xmlns:pic="http://schemas.openxmlformats.org/drawingml/2006/picture">
            <wp:extent cx="5486400" cy="32599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reg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Hallazgos Principales</w:t>
      </w:r>
    </w:p>
    <w:p>
      <w:pPr>
        <w:pStyle w:val="Heading3"/>
      </w:pPr>
      <w:r>
        <w:t>1. El canal Tienda concentra el mayor volumen de ventas</w:t>
      </w:r>
    </w:p>
    <w:p>
      <w:r>
        <w:t>Evidencia: El canal Tienda generó $134.50, representando el 46.2% del total.</w:t>
      </w:r>
    </w:p>
    <w:p>
      <w:r>
        <w:t>Interpretación: El canal físico sigue siendo relevante para el negocio.</w:t>
      </w:r>
    </w:p>
    <w:p>
      <w:r>
        <w:t>Impacto: Una interrupción operativa afectaría significativamente el ingreso total.</w:t>
      </w:r>
    </w:p>
    <w:p>
      <w:r>
        <w:t>Decisión: Monitorear semanalmente el desempeño del canal.</w:t>
      </w:r>
    </w:p>
    <w:p>
      <w:pPr>
        <w:pStyle w:val="Heading3"/>
      </w:pPr>
      <w:r>
        <w:t>2. La categoría Software es la más rentable</w:t>
      </w:r>
    </w:p>
    <w:p>
      <w:r>
        <w:t>Evidencia: Software generó $110.00 en ventas y $40.00 en utilidad.</w:t>
      </w:r>
    </w:p>
    <w:p>
      <w:r>
        <w:t>Interpretación: Es la categoría con mayor contribución al ingreso.</w:t>
      </w:r>
    </w:p>
    <w:p>
      <w:r>
        <w:t>Impacto: Invertir en esta categoría podría mejorar el margen general.</w:t>
      </w:r>
    </w:p>
    <w:p>
      <w:r>
        <w:t>Decisión: Revisar margen por categoría antes de aumentar inversión.</w:t>
      </w:r>
    </w:p>
    <w:p>
      <w:pPr>
        <w:pStyle w:val="Heading3"/>
      </w:pPr>
      <w:r>
        <w:t>3. Concentración territorial en la región Centro</w:t>
      </w:r>
    </w:p>
    <w:p>
      <w:r>
        <w:t>Evidencia: La región Centro concentra $115,580 en ventas.</w:t>
      </w:r>
    </w:p>
    <w:p>
      <w:r>
        <w:t>Interpretación: Existe una concentración de actividad en el área central del país.</w:t>
      </w:r>
    </w:p>
    <w:p>
      <w:r>
        <w:t>Impacto: La región Oriente muestra el mayor crecimiento (+15%), una oportunidad.</w:t>
      </w:r>
    </w:p>
    <w:p>
      <w:r>
        <w:t>Decisión: Validar la tendencia de crecimiento en Oriente con más periodos.</w:t>
      </w:r>
    </w:p>
    <w:p>
      <w:pPr>
        <w:pStyle w:val="Heading2"/>
      </w:pPr>
      <w:r>
        <w:t>4. Recomendaciones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Acción</w:t>
            </w:r>
          </w:p>
        </w:tc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Monitorear semanalmente conversión del canal Tienda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Gerente Comercial</w:t>
            </w:r>
          </w:p>
        </w:tc>
        <w:tc>
          <w:tcPr>
            <w:tcW w:type="dxa" w:w="1728"/>
          </w:tcPr>
          <w:p>
            <w:r>
              <w:t>Semanal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Revisar margen por categoría antes de invertir en Software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Gerente Financiero</w:t>
            </w:r>
          </w:p>
        </w:tc>
        <w:tc>
          <w:tcPr>
            <w:tcW w:type="dxa" w:w="1728"/>
          </w:tcPr>
          <w:p>
            <w:r>
              <w:t>Mensual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Diseñar promociones para productos sin descuento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Trimestral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Validar tendencia creciente con más periodos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Analista de Datos</w:t>
            </w:r>
          </w:p>
        </w:tc>
        <w:tc>
          <w:tcPr>
            <w:tcW w:type="dxa" w:w="1728"/>
          </w:tcPr>
          <w:p>
            <w:r>
              <w:t>Próximo periodo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Estudiar oportunidad en región Oriente (+15% crecimiento)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Dirección Comercial</w:t>
            </w:r>
          </w:p>
        </w:tc>
        <w:tc>
          <w:tcPr>
            <w:tcW w:type="dxa" w:w="1728"/>
          </w:tcPr>
          <w:p>
            <w:r>
              <w:t>Trimestral</w:t>
            </w:r>
          </w:p>
        </w:tc>
      </w:tr>
    </w:tbl>
    <w:p>
      <w:pPr>
        <w:pStyle w:val="Heading2"/>
      </w:pPr>
      <w:r>
        <w:t>5. Limitaciones</w:t>
      </w:r>
    </w:p>
    <w:p>
      <w:pPr>
        <w:pStyle w:val="ListBullet"/>
      </w:pPr>
      <w:r>
        <w:t>Volumen de datos: solo 6 transacciones en el periodo analizado.</w:t>
      </w:r>
    </w:p>
    <w:p>
      <w:pPr>
        <w:pStyle w:val="ListBullet"/>
      </w:pPr>
      <w:r>
        <w:t>Periodo limitado: una sola semana, sin estacionalidad identificable.</w:t>
      </w:r>
    </w:p>
    <w:p>
      <w:pPr>
        <w:pStyle w:val="ListBullet"/>
      </w:pPr>
      <w:r>
        <w:t>Datos sintéticos: sirven para demostrar el proceso, no para decisiones reales.</w:t>
      </w:r>
    </w:p>
    <w:p>
      <w:pPr>
        <w:pStyle w:val="ListBullet"/>
      </w:pPr>
      <w:r>
        <w:t>El análisis no incluye costos operativos por canal ni por región.</w:t>
      </w:r>
    </w:p>
    <w:p>
      <w:pPr>
        <w:pStyle w:val="ListBullet"/>
      </w:pPr>
      <w:r>
        <w:t>Correlación no implica causalidad: los patrones son asociaciones.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