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D3C6C" w:rsidR="00ED3C6C" w:rsidP="00ED3C6C" w:rsidRDefault="00ED3C6C">
      <w:bookmarkStart w:name="_GoBack" w:id="0"/>
      <w:bookmarkEnd w:id="0"/>
    </w:p>
    <w:p>
      <w:pPr>
        <w:pStyle w:val="Heading1"/>
      </w:pPr>
      <w:r>
        <w:t xml:space="preserve">Heading 1</w:t>
      </w:r>
    </w:p>
    <w:p>
      <w:pPr>
        <w:pStyle w:val="Heading2"/>
      </w:pPr>
      <w:r>
        <w:t xml:space="preserve">Heading 2</w:t>
      </w:r>
    </w:p>
    <w:p>
      <w:pPr>
        <w:pStyle w:val="Heading3"/>
      </w:pPr>
      <w:r>
        <w:t xml:space="preserve">Heading 3</w:t>
      </w:r>
    </w:p>
    <w:p>
      <w:pPr>
        <w:pStyle w:val="heading 4"/>
      </w:pPr>
      <w:r>
        <w:t xml:space="preserve">Heading 4</w:t>
      </w:r>
    </w:p>
    <w:p>
      <w:pPr>
        <w:pStyle w:val="heading 5"/>
      </w:pPr>
      <w:r>
        <w:t xml:space="preserve">Heading 5</w:t>
      </w:r>
    </w:p>
    <w:p>
      <w:r>
        <w:rPr>
          <w:i/>
        </w:rPr>
        <w:t xml:space="preserve">Italic</w:t>
      </w:r>
      <w:r>
        <w:t xml:space="preserve"> </w:t>
      </w:r>
      <w:r>
        <w:rPr>
          <w:i/>
        </w:rPr>
        <w:t xml:space="preserve"> Span</w:t>
      </w:r>
      <w:r>
        <w:br/>
      </w:r>
      <w:r>
        <w:rPr>
          <w:smallCaps/>
        </w:rPr>
        <w:t xml:space="preserve"> Small caps</w:t>
      </w:r>
      <w:r>
        <w:br/>
      </w:r>
      <w:r>
        <w:rPr>
          <w:strike/>
        </w:rPr>
        <w:t xml:space="preserve">Strike</w:t>
      </w:r>
      <w:r>
        <w:t xml:space="preserve"> </w:t>
      </w:r>
      <w:r>
        <w:rPr>
          <w:strike/>
        </w:rPr>
        <w:t xml:space="preserve"> Line Through</w:t>
      </w:r>
      <w:r>
        <w:t xml:space="preserve"> </w:t>
      </w:r>
      <w:r>
        <w:t xml:space="preserve"> Overline</w:t>
      </w:r>
      <w:r>
        <w:t xml:space="preserve"> </w:t>
      </w:r>
      <w:r>
        <w:rPr>
          <w:u w:val="single"/>
        </w:rPr>
        <w:t xml:space="preserve"> Underline</w:t>
      </w:r>
      <w:r>
        <w:br/>
      </w:r>
      <w:r>
        <w:rPr>
          <w:b/>
        </w:rPr>
        <w:t xml:space="preserve">Bold</w:t>
      </w:r>
      <w:r>
        <w:br/>
      </w:r>
      <w:r>
        <w:rPr>
          <w:b/>
        </w:rPr>
        <w:t xml:space="preserve">Bold</w:t>
      </w:r>
      <w:r>
        <w:br/>
      </w:r>
      <w:r>
        <w:rPr>
          <w:b/>
        </w:rPr>
        <w:t xml:space="preserve">Bolder</w:t>
      </w:r>
      <w:r>
        <w:br/>
      </w:r>
      <w:r>
        <w:t xml:space="preserve">Lighter</w:t>
      </w:r>
      <w:r>
        <w:br/>
      </w:r>
      <w:r>
        <w:t xml:space="preserve">Normal</w:t>
      </w:r>
      <w:r>
        <w:br/>
      </w:r>
      <w:r>
        <w:t xml:space="preserve">100</w:t>
      </w:r>
      <w:r>
        <w:br/>
      </w:r>
      <w:r>
        <w:t xml:space="preserve">200</w:t>
      </w:r>
      <w:r>
        <w:br/>
      </w:r>
      <w:r>
        <w:t xml:space="preserve">300</w:t>
      </w:r>
      <w:r>
        <w:br/>
      </w:r>
      <w:r>
        <w:t xml:space="preserve">400</w:t>
      </w:r>
      <w:r>
        <w:br/>
      </w:r>
      <w:r>
        <w:t xml:space="preserve">500</w:t>
      </w:r>
      <w:r>
        <w:br/>
      </w:r>
      <w:r>
        <w:t xml:space="preserve">600</w:t>
      </w:r>
      <w:r>
        <w:br/>
      </w:r>
      <w:r>
        <w:rPr>
          <w:b/>
        </w:rPr>
        <w:t xml:space="preserve">700</w:t>
      </w:r>
      <w:r>
        <w:br/>
      </w:r>
      <w:r>
        <w:t xml:space="preserve">800</w:t>
      </w:r>
      <w:r>
        <w:br/>
      </w:r>
      <w:r>
        <w:t xml:space="preserve">900</w:t>
      </w:r>
      <w:r>
        <w:br/>
      </w:r>
      <w:r>
        <w:t xml:space="preserve">The common </w:t>
      </w:r>
      <w:r>
        <w:rPr>
          <w:b/>
        </w:rPr>
        <w:t xml:space="preserve"> kingfisher</w:t>
      </w:r>
      <w:r>
        <w:t xml:space="preserve"> (Alcedo atthis) is a small kingfisher with seven subspecies recognized within its wide distribution across Eurasia and North Africa</w:t>
      </w:r>
      <w:r>
        <w:rPr>
          <w:sz w:val="30"/>
        </w:rPr>
        <w:t xml:space="preserve">Font size=2, color=blue</w:t>
      </w:r>
      <w:r>
        <w:br/>
      </w:r>
      <w:r>
        <w:rPr>
          <w:rFonts w:ascii="verdana" w:hAnsi="verdana"/>
        </w:rPr>
        <w:t xml:space="preserve">Font face=verdana, color=green</w:t>
      </w:r>
      <w:r>
        <w:br/>
      </w:r>
      <w:r>
        <w:t xml:space="preserve">abbreviation NATO</w:t>
      </w:r>
      <w:r>
        <w:rPr>
          <w:rStyle w:val="footnote reference"/>
          <w:vertAlign w:val="superscript"/>
        </w:rPr>
        <w:footnoteReference w:id="1"/>
      </w:r>
      <w:r>
        <w:br/>
      </w:r>
      <w:r>
        <w:t xml:space="preserve">abbreviation Link NATO</w:t>
      </w:r>
      <w:r>
        <w:rPr>
          <w:rStyle w:val="footnote reference"/>
          <w:vertAlign w:val="superscript"/>
        </w:rPr>
        <w:footnoteReference w:id="2"/>
      </w:r>
      <w:r>
        <w:br/>
      </w:r>
      <w:r>
        <w:t xml:space="preserve">abbreviation Link NATO</w:t>
      </w:r>
      <w:r>
        <w:rPr>
          <w:rStyle w:val="footnote reference"/>
          <w:vertAlign w:val="superscript"/>
        </w:rPr>
        <w:footnoteReference w:id="3"/>
      </w:r>
      <w:r>
        <w:br/>
      </w:r>
      <w:r>
        <w:t xml:space="preserve">abbreviation Link NATO</w:t>
      </w:r>
      <w:r>
        <w:rPr>
          <w:rStyle w:val="footnote reference"/>
          <w:vertAlign w:val="superscript"/>
        </w:rPr>
        <w:footnoteReference w:id="4"/>
      </w:r>
      <w:r>
        <w:br/>
      </w:r>
      <w:r>
        <w:t xml:space="preserve">acronym NATO</w:t>
      </w:r>
      <w:r>
        <w:rPr>
          <w:rStyle w:val="footnote reference"/>
          <w:vertAlign w:val="superscript"/>
        </w:rPr>
        <w:footnoteReference w:id="5"/>
      </w:r>
    </w:p>
    <w:p>
      <w:pPr>
        <w:ind w:firstLine="750"/>
      </w:pPr>
      <w:r>
        <w:t xml:space="preserve">In my younger and more vulnerable years my father gave me some advice that I've been turning over in my mind ever since. 'Whenever you feel like criticizing anyone,' he told me, 'just remember that all the people in this world haven't had the advantages that you've had.'</w:t>
      </w:r>
    </w:p>
    <w:p>
      <w:hyperlink w:history="true" r:id="Rf5653909315849ca">
        <w:r>
          <w:rPr>
            <w:rStyle w:val="Hyperlink"/>
          </w:rPr>
          <w:t xml:space="preserve">Google</w:t>
        </w:r>
      </w:hyperlink>
      <w:hyperlink w:history="true" r:id="R3d894d77060341e8">
        <w:r>
          <w:drawing>
            <wp:inline distT="0" distB="0" distL="0" distR="0">
              <wp:extent cx="47625" cy="47625"/>
              <wp:effectExtent l="19050" t="0" r="0" b="0"/>
              <wp:docPr id="2" name="data:image/png;base64,iVBORw0KGgoAAAANSUhEUgAAAAUAAAAFCAYAAACNbyblAAAAHElEQVQI12P4//8/w38GIAXDIBKE0DHxgljNBAAO9TXL0Y4OHwAAAABJRU5ErkJggg==" descr="">
                <a:hlinkClick xmlns:a="http://schemas.openxmlformats.org/drawingml/2006/main" r:id="R3d894d77060341e8"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image/png;base64,iVBORw0KGgoAAAANSUhEUgAAAAUAAAAFCAYAAACNbyblAAAAHElEQVQI12P4//8/w38GIAXDIBKE0DHxgljNBAAO9TXL0Y4OHwAAAABJRU5ErkJggg==" descr="Red dot"/>
                      <pic:cNvPicPr>
                        <a:picLocks noChangeAspect="1" noChangeArrowheads="1"/>
                      </pic:cNvPicPr>
                    </pic:nvPicPr>
                    <pic:blipFill>
                      <a:blip r:embed="R13f6ac54c3b14d3c"/>
                      <a:srcRect/>
                      <a:stretch>
                        <a:fillRect/>
                      </a:stretch>
                    </pic:blipFill>
                    <pic:spPr bwMode="auto">
                      <a:xfrm>
                        <a:off x="0" y="0"/>
                        <a:ext cx="47625" cy="47625"/>
                      </a:xfrm>
                      <a:prstGeom prst="rect">
                        <a:avLst/>
                      </a:prstGeom>
                    </pic:spPr>
                  </pic:pic>
                </a:graphicData>
              </a:graphic>
            </wp:inline>
          </w:drawing>
        </w:r>
        <w:r>
          <w:rPr>
            <w:rStyle w:val="Hyperlink"/>
          </w:rPr>
          <w:t xml:space="preserve"> Red Dot</w:t>
        </w:r>
      </w:hyperlink>
    </w:p>
    <w:p>
      <w:hyperlink w:history="true" r:id="Rfc759536af1e4334">
        <w:r>
          <w:drawing>
            <wp:inline distT="0" distB="0" distL="0" distR="0">
              <wp:extent cx="47625" cy="47625"/>
              <wp:effectExtent l="19050" t="0" r="0" b="0"/>
              <wp:docPr id="3" name="data:image/png;base64,iVBORw0KGgoAAAANSUhEUgAAAAUAAAAFCAYAAACNbyblAAAAHElEQVQI12P4//8/w38GIAXDIBKE0DHxgljNBAAO9TXL0Y4OHwAAAABJRU5ErkJggg==" descr="">
                <a:hlinkClick xmlns:a="http://schemas.openxmlformats.org/drawingml/2006/main" r:id="Rfc759536af1e4334"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image/png;base64,iVBORw0KGgoAAAANSUhEUgAAAAUAAAAFCAYAAACNbyblAAAAHElEQVQI12P4//8/w38GIAXDIBKE0DHxgljNBAAO9TXL0Y4OHwAAAABJRU5ErkJggg==" descr="Red dot"/>
                      <pic:cNvPicPr>
                        <a:picLocks noChangeAspect="1" noChangeArrowheads="1"/>
                      </pic:cNvPicPr>
                    </pic:nvPicPr>
                    <pic:blipFill>
                      <a:blip r:embed="R28622d0558ef49cf"/>
                      <a:srcRect/>
                      <a:stretch>
                        <a:fillRect/>
                      </a:stretch>
                    </pic:blipFill>
                    <pic:spPr bwMode="auto">
                      <a:xfrm>
                        <a:off x="0" y="0"/>
                        <a:ext cx="47625" cy="47625"/>
                      </a:xfrm>
                      <a:prstGeom prst="rect">
                        <a:avLst/>
                      </a:prstGeom>
                    </pic:spPr>
                  </pic:pic>
                </a:graphicData>
              </a:graphic>
            </wp:inline>
          </w:drawing>
        </w:r>
      </w:hyperlink>
    </w:p>
    <w:p>
      <w:pPr>
        <w:pBdr>
          <w:top w:val="single" w:sz="4"/>
        </w:pBdr>
      </w:pPr>
      <w:r/>
    </w:p>
    <w:p>
      <w:pPr>
        <w:spacing w:after="0"/>
      </w:pPr>
      <w:r>
        <w:t xml:space="preserve">Coffee</w:t>
      </w:r>
    </w:p>
    <w:p>
      <w:pPr>
        <w:spacing w:after="0"/>
        <w:ind w:firstLine="708"/>
      </w:pPr>
      <w:r>
        <w:t xml:space="preserve">Black hot drink</w:t>
      </w:r>
    </w:p>
    <w:p>
      <w:pPr>
        <w:spacing w:after="0"/>
      </w:pPr>
      <w:r>
        <w:t xml:space="preserve">Milk</w:t>
      </w:r>
    </w:p>
    <w:p>
      <w:pPr>
        <w:spacing w:after="0"/>
        <w:ind w:firstLine="708"/>
      </w:pPr>
      <w:r>
        <w:t xml:space="preserve">White cold drink</w:t>
      </w:r>
      <w:r>
        <w:br/>
      </w:r>
    </w:p>
    <w:p>
      <w:pPr>
        <w:pStyle w:val="IntenseQuote"/>
      </w:pPr>
      <w:r>
        <w:t xml:space="preserve">For 50 years, WWF has been protecting the future of nature. The world's leading conservation organization, WWF works in 100 countries and is supported by 1.2 million members in the United States and close to 5 million globally.</w:t>
      </w:r>
    </w:p>
    <w:p>
      <w:r>
        <w:br/>
      </w:r>
      <w:r>
        <w:rPr>
          <w:sz w:val="24"/>
        </w:rPr>
        <w:t xml:space="preserve">My Text </w:t>
      </w:r>
    </w:p>
    <w:p>
      <w:r>
        <w:t xml:space="preserve">An ordered list:</w:t>
      </w:r>
    </w:p>
    <w:p>
      <w:pPr>
        <w:pStyle w:val="ListParagraph"/>
        <w:numPr>
          <w:ilvl w:val="0"/>
          <w:numId w:val="2"/>
        </w:numPr>
        <w:spacing w:after="0"/>
        <w:ind w:left="357" w:hanging="357"/>
      </w:pPr>
      <w:r>
        <w:t xml:space="preserve">Coffee</w:t>
      </w:r>
    </w:p>
    <w:p>
      <w:pPr>
        <w:pStyle w:val="ListParagraph"/>
        <w:numPr>
          <w:ilvl w:val="0"/>
          <w:numId w:val="2"/>
        </w:numPr>
        <w:spacing w:after="0"/>
        <w:ind w:left="357" w:hanging="357"/>
      </w:pPr>
      <w:r>
        <w:t xml:space="preserve">Tea</w:t>
      </w:r>
    </w:p>
    <w:p>
      <w:pPr>
        <w:pStyle w:val="ListParagraph"/>
        <w:numPr>
          <w:ilvl w:val="0"/>
          <w:numId w:val="2"/>
        </w:numPr>
        <w:spacing w:after="0"/>
        <w:ind w:left="357" w:hanging="357"/>
      </w:pPr>
      <w:r>
        <w:t xml:space="preserve">Milk</w:t>
      </w:r>
    </w:p>
    <w:p>
      <w:pPr>
        <w:pStyle w:val="ListParagraph"/>
        <w:numPr>
          <w:ilvl w:val="1"/>
          <w:numId w:val="3"/>
        </w:numPr>
        <w:spacing w:after="0"/>
        <w:ind w:left="714" w:hanging="357"/>
      </w:pPr>
      <w:r>
        <w:t xml:space="preserve">Coffee</w:t>
      </w:r>
    </w:p>
    <w:p>
      <w:pPr>
        <w:pStyle w:val="ListParagraph"/>
        <w:numPr>
          <w:ilvl w:val="1"/>
          <w:numId w:val="3"/>
        </w:numPr>
        <w:spacing w:after="0"/>
        <w:ind w:left="714" w:hanging="357"/>
      </w:pPr>
      <w:r>
        <w:t xml:space="preserve">Tea</w:t>
      </w:r>
    </w:p>
    <w:p>
      <w:pPr>
        <w:pStyle w:val="ListParagraph"/>
        <w:numPr>
          <w:ilvl w:val="2"/>
          <w:numId w:val="4"/>
        </w:numPr>
        <w:spacing w:after="0"/>
        <w:ind w:left="1071" w:hanging="357"/>
      </w:pPr>
      <w:r>
        <w:t xml:space="preserve">Earl Grey</w:t>
      </w:r>
    </w:p>
    <w:p>
      <w:pPr>
        <w:pStyle w:val="ListParagraph"/>
        <w:numPr>
          <w:ilvl w:val="2"/>
          <w:numId w:val="4"/>
        </w:numPr>
        <w:spacing w:after="0"/>
        <w:ind w:left="1071" w:hanging="357"/>
      </w:pPr>
      <w:r>
        <w:t xml:space="preserve">Green</w:t>
      </w:r>
    </w:p>
    <w:p>
      <w:pPr>
        <w:pStyle w:val="ListParagraph"/>
        <w:numPr>
          <w:ilvl w:val="2"/>
          <w:numId w:val="4"/>
        </w:numPr>
        <w:spacing w:after="0"/>
        <w:ind w:left="1071" w:hanging="357"/>
      </w:pPr>
      <w:r>
        <w:t xml:space="preserve">Rosboh</w:t>
      </w:r>
    </w:p>
    <w:p>
      <w:pPr>
        <w:pStyle w:val="ListParagraph"/>
        <w:numPr>
          <w:ilvl w:val="1"/>
          <w:numId w:val="3"/>
        </w:numPr>
        <w:spacing w:after="0"/>
        <w:ind w:left="714" w:hanging="357"/>
      </w:pPr>
      <w:r>
        <w:t xml:space="preserve">Milk</w:t>
      </w:r>
    </w:p>
    <w:p>
      <w:pPr>
        <w:pStyle w:val="ListParagraph"/>
        <w:numPr>
          <w:ilvl w:val="0"/>
          <w:numId w:val="2"/>
        </w:numPr>
        <w:spacing w:after="0"/>
        <w:ind w:left="357" w:hanging="357"/>
      </w:pPr>
      <w:r>
        <w:t xml:space="preserve">Wine</w:t>
      </w:r>
    </w:p>
    <w:tbl>
      <w:tblPr>
        <w:tblW w:w="0" w:type="auto"/>
        <w:tblBorders>
          <w:top w:val="single" w:sz="1"/>
          <w:left w:val="single" w:sz="1"/>
          <w:bottom w:val="single" w:sz="1"/>
          <w:right w:val="single" w:sz="1"/>
          <w:insideH w:val="single" w:sz="1"/>
          <w:insideV w:val="single" w:sz="1"/>
        </w:tblBorders>
      </w:tblPr>
      <w:tblGrid>
        <w:gridCol/>
      </w:tblGrid>
      <w:tr>
        <w:tc>
          <w:tcPr>
            <w:vAlign w:val="center"/>
          </w:tcPr>
          <w:p>
            <w:r>
              <w:t xml:space="preserve">Inside table</w:t>
            </w:r>
          </w:p>
        </w:tc>
      </w:tr>
    </w:tbl>
    <w:p>
      <w:pPr>
        <w:pBdr>
          <w:top w:val="single" w:sz="4"/>
        </w:pBdr>
      </w:pPr>
      <w:r/>
    </w:p>
    <w:p>
      <w:r>
        <w:t xml:space="preserve">delta parameter (</w:t>
      </w:r>
      <w:r>
        <w:rPr>
          <w:rFonts w:ascii="Symbol" w:hAnsi="Symbol"/>
        </w:rPr>
        <w:t xml:space="preserve">d</w:t>
      </w:r>
      <w:r>
        <w:t xml:space="preserve">)</w:t>
      </w:r>
    </w:p>
    <w:p>
      <w:r>
        <w:t xml:space="preserve">Looks how cool is </w:t>
      </w:r>
      <w:r>
        <w:rPr>
          <w:b/>
          <w:sz w:val="96"/>
        </w:rPr>
        <w:t xml:space="preserve">Open Xml</w:t>
      </w:r>
      <w:r>
        <w:t xml:space="preserve">.</w:t>
      </w:r>
    </w:p>
    <w:p>
      <w:pPr>
        <w:pBdr>
          <w:top w:val="single" w:sz="4"/>
        </w:pBdr>
      </w:pPr>
      <w:r/>
      <w:r>
        <w:t xml:space="preserve">Now with </w:t>
      </w:r>
      <w:r>
        <w:rPr>
          <w:u w:val="single"/>
        </w:rPr>
        <w:t xml:space="preserve">HtmlToOpenXml</w:t>
      </w:r>
      <w:r>
        <w:t xml:space="preserve">, it never been so easy to convert html.</w:t>
      </w:r>
    </w:p>
    <w:p>
      <w:r>
        <w:t xml:space="preserve">If you like it, add me a rating on </w:t>
      </w:r>
      <w:hyperlink w:history="true" r:id="R224874440a7f4ca5">
        <w:r>
          <w:rPr>
            <w:rStyle w:val="Hyperlink"/>
          </w:rPr>
          <w:t xml:space="preserve">codeplex</w:t>
        </w:r>
      </w:hyperlink>
    </w:p>
    <w:p>
      <w:r>
        <w:t xml:space="preserve">simple text</w:t>
      </w:r>
      <w:r>
        <w:br w:type="page"/>
      </w:r>
      <w:r>
        <w:lastRenderedPageBreak/>
      </w:r>
      <w:r>
        <w:t xml:space="preserve">Hello !
je suis du texte</w:t>
      </w:r>
      <w:r>
        <w:rPr>
          <w:i/>
        </w:rPr>
        <w:t xml:space="preserve">écrit en oblique.</w:t>
      </w:r>
    </w:p>
    <w:tbl>
      <w:tblPr>
        <w:tblStyle w:val="Table Grid"/>
        <w:tblW w:w="5000" w:type="pct"/>
      </w:tblPr>
      <w:tblGrid>
        <w:gridCol w:w="5610"/>
      </w:tblGrid>
      <w:tr>
        <w:tc>
          <w:tcPr>
            <w:tcBorders>
              <w:top w:val="single"/>
              <w:left w:val="single"/>
              <w:bottom w:val="single"/>
              <w:right w:val="single"/>
            </w:tcBorders>
          </w:tcPr>
          <w:p>
            <w:pPr>
              <w:bidi w:val="false"/>
              <w:rPr>
                <w:lang w:val="fr"/>
              </w:rPr>
            </w:pPr>
            <w:r>
              <w:t xml:space="preserve">  public void SetContentType(System.Web.HttpRequest request, System.Web.HttpResponse response, String reportName)</w:t>
            </w:r>
            <w:r>
              <w:br/>
            </w:r>
            <w:r>
              <w:t xml:space="preserve">{</w:t>
            </w:r>
            <w:r>
              <w:br/>
            </w:r>
            <w:r>
              <w:t xml:space="preserve">	if (request.Browser.Browser.Contains("IE"))</w:t>
            </w:r>
            <w:r>
              <w:br/>
            </w:r>
            <w:r>
              <w:t xml:space="preserve">	{</w:t>
            </w:r>
            <w:r>
              <w:br/>
            </w:r>
            <w:r>
              <w:t xml:space="preserve">		</w:t>
            </w:r>
            <w:r>
              <w:t xml:space="preserve">// Replace the %20 to obtain a clean name when saving the file from Word.</w:t>
            </w:r>
            <w:r>
              <w:br/>
            </w:r>
            <w:r>
              <w:t xml:space="preserve">		encodedFilename =</w:t>
            </w:r>
            <w:r>
              <w:br/>
            </w:r>
            <w:r>
              <w:t xml:space="preserve">		  Uri.EscapeDataString(Path.GetFileNameWithoutExtension(encodedFilename)).Replace("%20", " ")</w:t>
            </w:r>
            <w:r>
              <w:br/>
            </w:r>
            <w:r>
              <w:t xml:space="preserve">			+ Path.GetExtension(encodedFilename);</w:t>
            </w:r>
            <w:r>
              <w:br/>
            </w:r>
            <w:r>
              <w:t xml:space="preserve">	}</w:t>
            </w:r>
            <w:r>
              <w:br/>
            </w:r>
            <w:r>
              <w:t xml:space="preserve">}</w:t>
            </w:r>
          </w:p>
        </w:tc>
      </w:tr>
    </w:tbl>
    <w:p>
      <w:pPr>
        <w:pBdr>
          <w:top w:val="single" w:sz="4"/>
        </w:pBdr>
        <w:bidi w:val="false"/>
        <w:spacing w:before="240"/>
        <w:rPr>
          <w:lang w:val="fr"/>
        </w:rPr>
      </w:pPr>
      <w:r/>
    </w:p>
    <w:tbl>
      <w:tblPr>
        <w:tblStyle w:val="Table Grid"/>
        <w:tblW w:w="5000" w:type="pct"/>
      </w:tblPr>
      <w:tblGrid>
        <w:gridCol w:w="5610"/>
      </w:tblGrid>
      <w:tr>
        <w:tc>
          <w:tcPr>
            <w:tcBorders>
              <w:top w:val="single"/>
              <w:left w:val="single"/>
              <w:bottom w:val="single"/>
              <w:right w:val="single"/>
            </w:tcBorders>
          </w:tcPr>
          <w:p>
            <w:pPr>
              <w:bidi w:val="false"/>
              <w:rPr>
                <w:lang w:val="fr"/>
              </w:rPr>
            </w:pPr>
            <w:r>
              <w:br/>
            </w:r>
            <w:r>
              <w:t xml:space="preserve">Some &lt;Pre&gt; starting one </w:t>
            </w:r>
            <w:r>
              <w:br/>
            </w:r>
            <w:r>
              <w:t xml:space="preserve">line below!</w:t>
            </w:r>
            <w:r>
              <w:br/>
            </w:r>
          </w:p>
        </w:tc>
      </w:tr>
    </w:tbl>
    <w:sectPr w:rsidRPr="00ED3C6C" w:rsidR="00ED3C6C" w:rsidSect="00997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 text"/>
      </w:pPr>
      <w:r>
        <w:rPr>
          <w:rStyle w:val="footnote reference"/>
          <w:vertAlign w:val="superscript"/>
        </w:rPr>
        <w:footnoteRef/>
      </w:r>
      <w:r>
        <w:t xml:space="preserve"> </w:t>
      </w:r>
      <w:r>
        <w:t xml:space="preserve">Organisation des nations unies</w:t>
      </w:r>
    </w:p>
  </w:footnote>
  <w:footnote w:id="2">
    <w:p>
      <w:pPr>
        <w:pStyle w:val="footnote text"/>
      </w:pPr>
      <w:r>
        <w:rPr>
          <w:rStyle w:val="footnote reference"/>
          <w:vertAlign w:val="superscript"/>
        </w:rPr>
        <w:footnoteRef/>
      </w:r>
      <w:r>
        <w:t xml:space="preserve"> </w:t>
      </w:r>
      <w:hyperlink xmlns:r="http://schemas.openxmlformats.org/officeDocument/2006/relationships" w:history="true" r:id="R057f692a995c4524">
        <w:r>
          <w:rPr>
            <w:rStyle w:val="Hyperlink"/>
          </w:rPr>
          <w:t>https://en.wikipedia.org/wiki/N ATO</w:t>
        </w:r>
      </w:hyperlink>
    </w:p>
  </w:footnote>
  <w:footnote w:id="3">
    <w:p>
      <w:pPr>
        <w:pStyle w:val="footnote text"/>
      </w:pPr>
      <w:r>
        <w:rPr>
          <w:rStyle w:val="footnote reference"/>
          <w:vertAlign w:val="superscript"/>
        </w:rPr>
        <w:footnoteRef/>
      </w:r>
      <w:r>
        <w:t xml:space="preserve"> </w:t>
      </w:r>
      <w:hyperlink xmlns:r="http://schemas.openxmlformats.org/officeDocument/2006/relationships" w:history="true" r:id="Rd463813ff0394582">
        <w:r>
          <w:rPr>
            <w:rStyle w:val="Hyperlink"/>
          </w:rPr>
          <w:t>file://C:\temp\NATO.html</w:t>
        </w:r>
      </w:hyperlink>
    </w:p>
  </w:footnote>
  <w:footnote w:id="4">
    <w:p>
      <w:pPr>
        <w:pStyle w:val="footnote text"/>
      </w:pPr>
      <w:r>
        <w:rPr>
          <w:rStyle w:val="footnote reference"/>
          <w:vertAlign w:val="superscript"/>
        </w:rPr>
        <w:footnoteRef/>
      </w:r>
      <w:r>
        <w:t xml:space="preserve"> </w:t>
      </w:r>
      <w:hyperlink xmlns:r="http://schemas.openxmlformats.org/officeDocument/2006/relationships" w:history="true" r:id="Rbf6cbd4e639c4866">
        <w:r>
          <w:rPr>
            <w:rStyle w:val="Hyperlink"/>
          </w:rPr>
          <w:t>\\server01\share\NATO.html</w:t>
        </w:r>
      </w:hyperlink>
    </w:p>
  </w:footnote>
  <w:footnote w:id="5">
    <w:p>
      <w:pPr>
        <w:pStyle w:val="footnote text"/>
      </w:pPr>
      <w:r>
        <w:rPr>
          <w:rStyle w:val="footnote reference"/>
          <w:vertAlign w:val="superscript"/>
        </w:rPr>
        <w:footnoteRef/>
      </w:r>
      <w:r>
        <w:t xml:space="preserve"> </w:t>
      </w:r>
      <w:r>
        <w:t xml:space="preserve">Organisation des nations unies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singleLevel"/>
    <w:lvl w:ilvl="0">
      <w:start w:val="1"/>
      <w:numFmt w:val="decimal"/>
      <w:lvlText w:val="%1."/>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
      <w:pPr>
        <w:ind w:left="420" w:hanging="360"/>
      </w:pPr>
    </w:lvl>
  </w:abstractNum>
  <w:abstractNum w:abstractNumId="4">
    <w:multiLevelType w:val="singleLevel"/>
    <w:lvl w:ilvl="0">
      <w:numFmt w:val="bullet"/>
      <w:lvlText w:val="o"/>
      <w:pPr>
        <w:ind w:left="420" w:hanging="360"/>
      </w:pPr>
    </w:lvl>
  </w:abstractNum>
  <w:abstractNum w:abstractNumId="5">
    <w:multiLevelType w:val="singleLevel"/>
    <w:lvl w:ilvl="0">
      <w:start w:val="1"/>
      <w:numFmt w:val="upperLetter"/>
      <w:lvlText w:val="%1."/>
      <w:pPr>
        <w:ind w:left="420" w:hanging="360"/>
      </w:pPr>
    </w:lvl>
  </w:abstractNum>
  <w:abstractNum w:abstractNumId="6">
    <w:multiLevelType w:val="singleLevel"/>
    <w:lvl w:ilvl="0">
      <w:start w:val="1"/>
      <w:numFmt w:val="lowerLetter"/>
      <w:lvlText w:val="%1."/>
      <w:pPr>
        <w:ind w:left="420" w:hanging="360"/>
      </w:pPr>
    </w:lvl>
  </w:abstractNum>
  <w:abstractNum w:abstractNumId="7">
    <w:multiLevelType w:val="singleLevel"/>
    <w:lvl w:ilvl="0">
      <w:start w:val="1"/>
      <w:numFmt w:val="upperRoman"/>
      <w:lvlText w:val="%1."/>
      <w:pPr>
        <w:ind w:left="420" w:hanging="360"/>
      </w:pPr>
    </w:lvl>
  </w:abstractNum>
  <w:abstractNum w:abstractNumId="8">
    <w:multiLevelType w:val="singleLevel"/>
    <w:lvl w:ilvl="0">
      <w:start w:val="1"/>
      <w:numFmt w:val="lowerRoman"/>
      <w:lvlText w:val="%1."/>
      <w:pPr>
        <w:ind w:left="420" w:hanging="360"/>
      </w:pPr>
    </w:lvl>
  </w:abstractNum>
  <w:abstractNum w:abstractNumId="0">
    <w:nsid w:val="081677C1"/>
    <w:multiLevelType w:val="hybridMultilevel"/>
    <w:tmpl w:val="F01CEDCE"/>
    <w:lvl w:ilvl="0" w:tplc="D292CAD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lvlOverride w:ilvl="0">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97353A"/>
    <w:rsid w:val="001D7D1A"/>
    <w:rsid w:val="00553A21"/>
    <w:rsid w:val="005806B3"/>
    <w:rsid w:val="005C2554"/>
    <w:rsid w:val="008E08A0"/>
    <w:rsid w:val="0097353A"/>
    <w:rsid w:val="009979E3"/>
    <w:rsid w:val="00B02D61"/>
    <w:rsid w:val="00BC0187"/>
    <w:rsid w:val="00CF2AE5"/>
    <w:rsid w:val="00E104F9"/>
    <w:rsid w:val="00ED3C6C"/>
    <w:rsid w:val="00F56D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79E3"/>
  </w:style>
  <w:style w:type="paragraph" w:styleId="Heading1">
    <w:name w:val="heading 1"/>
    <w:basedOn w:val="Normal"/>
    <w:next w:val="Normal"/>
    <w:link w:val="Heading1Char"/>
    <w:uiPriority w:val="9"/>
    <w:qFormat/>
    <w:rsid w:val="001D7D1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3C6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D3C6C"/>
    <w:pPr>
      <w:keepNext/>
      <w:keepLines/>
      <w:numPr>
        <w:numId w:val="1"/>
      </w:numPr>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F56D61"/>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56D61"/>
    <w:rPr>
      <w:b/>
      <w:bCs/>
      <w:i/>
      <w:iCs/>
      <w:color w:val="4F81BD" w:themeColor="accent1"/>
    </w:rPr>
  </w:style>
  <w:style w:type="character" w:styleId="Heading1Char" w:customStyle="1">
    <w:name w:val="Heading 1 Char"/>
    <w:basedOn w:val="DefaultParagraphFont"/>
    <w:link w:val="Heading1"/>
    <w:uiPriority w:val="9"/>
    <w:rsid w:val="001D7D1A"/>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ED3C6C"/>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ED3C6C"/>
    <w:rPr>
      <w:rFonts w:asciiTheme="majorHAnsi" w:hAnsiTheme="majorHAnsi" w:eastAsiaTheme="majorEastAsia" w:cstheme="majorBidi"/>
      <w:b/>
      <w:bCs/>
      <w:color w:val="4F81BD" w:themeColor="accent1"/>
    </w:rPr>
  </w:style>
  <w:style w:type="paragraph" w:styleId="heading 4">
    <w:name w:val="heading 4"/>
    <w:basedOn w:val="Normal"/>
    <w:next w:val="Normal"/>
    <w:unhideWhenUsed/>
    <w:qFormat/>
    <w:pPr>
      <w:keepNext/>
      <w:keepLines/>
      <w:spacing w:before="200" w:after="0"/>
      <w:outlineLvl w:val="3"/>
    </w:pPr>
    <w:rPr/>
  </w:style>
  <w:style w:type="paragraph" w:styleId="heading 5">
    <w:name w:val="heading 5"/>
    <w:basedOn w:val="Normal"/>
    <w:next w:val="Normal"/>
    <w:unhideWhenUsed/>
    <w:qFormat/>
    <w:pPr>
      <w:keepNext/>
      <w:keepLines/>
      <w:spacing w:before="200" w:after="0"/>
      <w:outlineLvl w:val="4"/>
    </w:pPr>
    <w:rPr/>
  </w:style>
  <w:style w:type="character" w:styleId="Hyperlink">
    <w:name w:val="Hyperlink"/>
    <w:unhideWhenUsed/>
    <w:rPr xmlns:w="http://schemas.openxmlformats.org/wordprocessingml/2006/mai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notes" Target="/word/footnotes.xml" Id="R93fc6c1bcc6847bf" /><Relationship Type="http://schemas.openxmlformats.org/officeDocument/2006/relationships/hyperlink" Target="http://www.google.be" TargetMode="External" Id="Rf5653909315849ca" /><Relationship Type="http://schemas.openxmlformats.org/officeDocument/2006/relationships/hyperlink" Target="http://www.google.be" TargetMode="External" Id="R3d894d77060341e8" /><Relationship Type="http://schemas.openxmlformats.org/officeDocument/2006/relationships/image" Target="/media/image.png" Id="R13f6ac54c3b14d3c" /><Relationship Type="http://schemas.openxmlformats.org/officeDocument/2006/relationships/hyperlink" Target="http://www.google.be" TargetMode="External" Id="Rfc759536af1e4334" /><Relationship Type="http://schemas.openxmlformats.org/officeDocument/2006/relationships/image" Target="/media/image2.png" Id="R28622d0558ef49cf" /><Relationship Type="http://schemas.openxmlformats.org/officeDocument/2006/relationships/hyperlink" Target="http://notesforhtml2openxml.codeplex.com" TargetMode="External" Id="R224874440a7f4ca5" /></Relationships>
</file>

<file path=word/_rels/footnotes.xml.rels>&#65279;<?xml version="1.0" encoding="utf-8"?><Relationships xmlns="http://schemas.openxmlformats.org/package/2006/relationships"><Relationship Type="http://schemas.openxmlformats.org/officeDocument/2006/relationships/hyperlink" Target="https://en.wikipedia.org/wiki/N ATO" TargetMode="External" Id="R057f692a995c4524" /><Relationship Type="http://schemas.openxmlformats.org/officeDocument/2006/relationships/hyperlink" Target="file://C:\temp\NATO.html" TargetMode="External" Id="Rd463813ff0394582" /><Relationship Type="http://schemas.openxmlformats.org/officeDocument/2006/relationships/hyperlink" Target="\\server01\share\NATO.html" TargetMode="External" Id="Rbf6cbd4e639c4866"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Nizet</dc:creator>
  <cp:lastModifiedBy>ADM Olivier Nizet</cp:lastModifiedBy>
  <cp:revision>9</cp:revision>
  <dcterms:created xsi:type="dcterms:W3CDTF">2010-02-19T10:11:00Z</dcterms:created>
  <dcterms:modified xsi:type="dcterms:W3CDTF">2014-05-15T10:22:00Z</dcterms:modified>
</cp:coreProperties>
</file>