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Sprint Retrospective</w:t>
      </w:r>
    </w:p>
    <w:p w:rsidR="00000000" w:rsidDel="00000000" w:rsidP="00000000" w:rsidRDefault="00000000" w:rsidRPr="00000000" w14:paraId="00000002">
      <w:pPr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Sprint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2880" w:firstLine="72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3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4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 Sprint Retrospective</w:t>
      </w:r>
    </w:p>
    <w:p w:rsidR="00000000" w:rsidDel="00000000" w:rsidP="00000000" w:rsidRDefault="00000000" w:rsidRPr="00000000" w14:paraId="00000025">
      <w:pPr>
        <w:ind w:left="0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Reflexionar sobre los resultados y la dinámica de trabajo del Sprint 3.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Reconocer los logros y buenas prácticas del equipo.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Detectar las dificultades que impactaron la productividad o la comunicación.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Establecer acciones de mejora específicas y alcanzables.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Reforzar la cultura de aprendizaje continuo dentro del marco Scrum.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Aspectos positivos</w:t>
      </w:r>
    </w:p>
    <w:p w:rsidR="00000000" w:rsidDel="00000000" w:rsidP="00000000" w:rsidRDefault="00000000" w:rsidRPr="00000000" w14:paraId="0000002D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Aspectos positivos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Comunicación fluida diaria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Las reuniones diarias se realizaron puntualmente y con participación activa de todo el equipo.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Cumplimiento de los objetivos del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Todas las historias de usuario se completaron dentro del tiempo establecido.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Mejora en la documentación 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La entrega incluyó documentación.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240" w:before="24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Aspectos a mejorar</w:t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N°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Objetivo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Crear documentación visual del flujo de 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Facilitar la comprensión del proceso de integración.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Integración técnica exitosa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  <w:t xml:space="preserve">La conexión de Transbank funcionó con algunos errores.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Evaluación del desempeño del equipo</w:t>
      </w:r>
    </w:p>
    <w:p w:rsidR="00000000" w:rsidDel="00000000" w:rsidP="00000000" w:rsidRDefault="00000000" w:rsidRPr="00000000" w14:paraId="0000004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5"/>
        <w:gridCol w:w="1325"/>
        <w:gridCol w:w="5420"/>
        <w:tblGridChange w:id="0">
          <w:tblGrid>
            <w:gridCol w:w="2645"/>
            <w:gridCol w:w="1325"/>
            <w:gridCol w:w="542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Evaluación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Colaboración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Excelente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Alto nivel de apoyo y comunicación mutua.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Cumplimiento de objetivos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Excelente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Sprint completado sin retrasos.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Código correcto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Código bien estructurado, sin errores y comentado.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Adaptabilidad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Excelente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Respuestas rápidas ante imprevistos técnicos.</w:t>
            </w:r>
          </w:p>
        </w:tc>
      </w:tr>
    </w:tbl>
    <w:p w:rsidR="00000000" w:rsidDel="00000000" w:rsidP="00000000" w:rsidRDefault="00000000" w:rsidRPr="00000000" w14:paraId="0000005B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Compromisos para el Sprint siguiente</w:t>
      </w:r>
    </w:p>
    <w:p w:rsidR="00000000" w:rsidDel="00000000" w:rsidP="00000000" w:rsidRDefault="00000000" w:rsidRPr="00000000" w14:paraId="0000005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Compromiso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Mostrar un mensaje o animación de “cargando” cuando empieza la transacción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Mejorar la presentación visual del mensaje de confirmación de pago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proceso</w:t>
            </w:r>
          </w:p>
        </w:tc>
      </w:tr>
    </w:tbl>
    <w:p w:rsidR="00000000" w:rsidDel="00000000" w:rsidP="00000000" w:rsidRDefault="00000000" w:rsidRPr="00000000" w14:paraId="0000006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eeq2c9tux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180" w:bottomFromText="180" w:vertAnchor="margin" w:horzAnchor="margin" w:tblpXSpec="left" w:tblpYSpec="top"/>
        <w:tblW w:w="93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5"/>
        <w:gridCol w:w="1325"/>
        <w:gridCol w:w="5420"/>
        <w:tblGridChange w:id="0">
          <w:tblGrid>
            <w:gridCol w:w="2645"/>
            <w:gridCol w:w="1325"/>
            <w:gridCol w:w="542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Colaboración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Excelente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Alto nivel de apoyo y comunicación mutua.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Cumplimiento de objetivos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Excelente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Sprint completado sin retrasos.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Gestión de impedimentos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Muy buena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Todos los bloqueos se resolvieron en menos de 24 horas.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Calidad del código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Código limpio, modular y documentado.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Adaptabilidad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Excelente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Respuestas rápidas ante imprevistos técnicos.</w:t>
            </w:r>
          </w:p>
        </w:tc>
      </w:tr>
    </w:tbl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