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5 - Review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5760" w:firstLine="72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Sprint Review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Verificar que se hayan cumplido los objetivos del Sprint 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Revisar las funcionalidades implementadas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Revisión de funcionalidades</w:t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boleta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automática de boleta tras pago exitoso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con Transbank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boleta solo se generará tras haber autorizado el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 de boleta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descargable y enviado por correo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equipo.</w:t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los 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funcionalidades se complementaron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diaria fluida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Solución de 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Errores resueltos en tiempos adecuados</w:t>
            </w:r>
          </w:p>
        </w:tc>
      </w:tr>
    </w:tbl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OmETOWyXHAmCs+CJP4KYsZI8Qw==">CgMxLjA4AHIhMXRoc3V4WTVoT3d4V0Zsc1UwOWIyOVh6U2lDZEdDTFFh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