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aeba50d73382ae4a46ca4bdce6835b029f321a2" w:id="28"/>
    <w:p xmlns:wp14="http://schemas.microsoft.com/office/word/2010/wordml" w14:paraId="054D4786" wp14:textId="77777777">
      <w:pPr>
        <w:pStyle w:val="Heading1"/>
      </w:pPr>
      <w:r>
        <w:t xml:space="preserve">Advantage + Crystal PPLI (1% NAAR) Master Brief</w:t>
      </w:r>
    </w:p>
    <w:p xmlns:wp14="http://schemas.microsoft.com/office/word/2010/wordml" w14:paraId="672A6659" wp14:textId="77777777">
      <w:r>
        <w:pict w14:anchorId="07552639">
          <v:rect style="width:0;height:1.5pt" o:hr="t" o:hrstd="t" o:hralign="center"/>
        </w:pict>
      </w:r>
    </w:p>
    <w:bookmarkStart w:name="core-product-mechanics" w:id="20"/>
    <w:p xmlns:wp14="http://schemas.microsoft.com/office/word/2010/wordml" w14:paraId="77EE8076" wp14:textId="77777777">
      <w:pPr>
        <w:pStyle w:val="Heading2"/>
      </w:pPr>
      <w:r>
        <w:t xml:space="preserve">1) Core Product Mechanics</w:t>
      </w:r>
    </w:p>
    <w:p xmlns:wp14="http://schemas.microsoft.com/office/word/2010/wordml" w14:paraId="6DF2F321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Carrier:</w:t>
      </w:r>
      <w:r>
        <w:t xml:space="preserve"> </w:t>
      </w:r>
      <w:r>
        <w:t xml:space="preserve">Advantage Insurance (offshore structure).</w:t>
      </w:r>
    </w:p>
    <w:p xmlns:wp14="http://schemas.microsoft.com/office/word/2010/wordml" w14:paraId="2A1D3584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Chassis:</w:t>
      </w:r>
      <w:r>
        <w:t xml:space="preserve"> </w:t>
      </w:r>
      <w:r>
        <w:t xml:space="preserve">Private Placement Life Insurance (PPLI) with 1% Net Amount at Risk (NAAR).</w:t>
      </w:r>
    </w:p>
    <w:p xmlns:wp14="http://schemas.microsoft.com/office/word/2010/wordml" w14:paraId="529D9FE7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Simplified/guaranteed issue possible; can optionally purchase guaranteed DB at filed rates.</w:t>
      </w:r>
    </w:p>
    <w:p xmlns:wp14="http://schemas.microsoft.com/office/word/2010/wordml" w14:paraId="21737048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Minimums:</w:t>
      </w:r>
      <w:r>
        <w:t xml:space="preserve"> </w:t>
      </w:r>
      <w:r>
        <w:t xml:space="preserve">$2M (single-pay or up to 4 payments).</w:t>
      </w:r>
    </w:p>
    <w:p xmlns:wp14="http://schemas.microsoft.com/office/word/2010/wordml" w14:paraId="305155BF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Typically offshore trust or entity for Japanese/global clients.</w:t>
      </w:r>
    </w:p>
    <w:p xmlns:wp14="http://schemas.microsoft.com/office/word/2010/wordml" w14:paraId="0A37501D" wp14:textId="77777777">
      <w:r>
        <w:pict w14:anchorId="19D5F5DC">
          <v:rect style="width:0;height:1.5pt" o:hr="t" o:hrstd="t" o:hralign="center"/>
        </w:pict>
      </w:r>
    </w:p>
    <w:bookmarkEnd w:id="20"/>
    <w:bookmarkStart w:name="fees-compensation" w:id="21"/>
    <w:p xmlns:wp14="http://schemas.microsoft.com/office/word/2010/wordml" w14:paraId="6B9473A1" wp14:textId="77777777">
      <w:pPr>
        <w:pStyle w:val="Heading2"/>
      </w:pPr>
      <w:r>
        <w:t xml:space="preserve">2) Fees &amp; Compensation</w:t>
      </w:r>
    </w:p>
    <w:p xmlns:wp14="http://schemas.microsoft.com/office/word/2010/wordml" w14:paraId="655E7E2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Brokerage Commission:</w:t>
      </w:r>
      <w:r>
        <w:t xml:space="preserve"> </w:t>
      </w:r>
      <w:r>
        <w:t xml:space="preserve">4% (front-end).</w:t>
      </w:r>
    </w:p>
    <w:p xmlns:wp14="http://schemas.microsoft.com/office/word/2010/wordml" w14:paraId="6BC780E5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Ongoing Fees:</w:t>
      </w:r>
      <w:r>
        <w:t xml:space="preserve"> </w:t>
      </w:r>
      <w:r>
        <w:t xml:space="preserve">30 bps annual asset-based charge, split: 20 bps Advantage, 10 bps 3C.</w:t>
      </w:r>
    </w:p>
    <w:p xmlns:wp14="http://schemas.microsoft.com/office/word/2010/wordml" w14:paraId="2BB4664C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RIA Fee:</w:t>
      </w:r>
      <w:r>
        <w:t xml:space="preserve"> </w:t>
      </w:r>
      <w:r>
        <w:t xml:space="preserve">1% charged on Crystal allocations (outside policy).</w:t>
      </w:r>
    </w:p>
    <w:p xmlns:wp14="http://schemas.microsoft.com/office/word/2010/wordml" w14:paraId="3FEB2D60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bank/Ohana skim at policy level.</w:t>
      </w:r>
    </w:p>
    <w:p xmlns:wp14="http://schemas.microsoft.com/office/word/2010/wordml" w14:paraId="5DAB6C7B" wp14:textId="77777777">
      <w:r>
        <w:pict w14:anchorId="4BC33DBD">
          <v:rect style="width:0;height:1.5pt" o:hr="t" o:hrstd="t" o:hralign="center"/>
        </w:pict>
      </w:r>
    </w:p>
    <w:bookmarkEnd w:id="21"/>
    <w:bookmarkStart w:name="investment-platform" w:id="22"/>
    <w:p xmlns:wp14="http://schemas.microsoft.com/office/word/2010/wordml" w14:paraId="273D3CDB" wp14:textId="77777777">
      <w:pPr>
        <w:pStyle w:val="Heading2"/>
      </w:pPr>
      <w:r>
        <w:t xml:space="preserve">3) Investment Platform</w:t>
      </w:r>
    </w:p>
    <w:p xmlns:wp14="http://schemas.microsoft.com/office/word/2010/wordml" w14:paraId="5C087A06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Crystal Funds:</w:t>
      </w:r>
      <w:r>
        <w:t xml:space="preserve"> </w:t>
      </w:r>
      <w:r>
        <w:t xml:space="preserve">Multi-manager, open-architecture</w:t>
      </w:r>
      <w:r>
        <w:t xml:space="preserve"> </w:t>
      </w:r>
      <w:r>
        <w:t xml:space="preserve">“super blue chip”</w:t>
      </w:r>
      <w:r>
        <w:t xml:space="preserve"> </w:t>
      </w:r>
      <w:r>
        <w:t xml:space="preserve">allocation.</w:t>
      </w:r>
    </w:p>
    <w:p xmlns:wp14="http://schemas.microsoft.com/office/word/2010/wordml" w14:paraId="2A42972E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Performance:</w:t>
      </w:r>
      <w:r>
        <w:t xml:space="preserve"> </w:t>
      </w:r>
      <w:r>
        <w:t xml:space="preserve">~9% net (after 1% RIA fee, before insurance costs).</w:t>
      </w:r>
    </w:p>
    <w:p xmlns:wp14="http://schemas.microsoft.com/office/word/2010/wordml" w14:paraId="598F73CF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Formal $10M investment proposal prepared by Crystal.</w:t>
      </w:r>
    </w:p>
    <w:p xmlns:wp14="http://schemas.microsoft.com/office/word/2010/wordml" w14:paraId="10ADD593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Blend Scenarios:</w:t>
      </w:r>
    </w:p>
    <w:p xmlns:wp14="http://schemas.microsoft.com/office/word/2010/wordml" w14:paraId="79408B20" wp14:textId="77777777">
      <w:pPr>
        <w:pStyle w:val="Compact"/>
        <w:numPr>
          <w:ilvl w:val="1"/>
          <w:numId w:val="1004"/>
        </w:numPr>
      </w:pPr>
      <w:r>
        <w:t xml:space="preserve">100% Crystal = 9% net.</w:t>
      </w:r>
    </w:p>
    <w:p xmlns:wp14="http://schemas.microsoft.com/office/word/2010/wordml" w14:paraId="48C92DCB" wp14:textId="77777777">
      <w:pPr>
        <w:pStyle w:val="Compact"/>
        <w:numPr>
          <w:ilvl w:val="1"/>
          <w:numId w:val="1004"/>
        </w:numPr>
      </w:pPr>
      <w:r>
        <w:t xml:space="preserve">50% Crystal / 50% Axonic = 7% net.</w:t>
      </w:r>
    </w:p>
    <w:p xmlns:wp14="http://schemas.microsoft.com/office/word/2010/wordml" w14:paraId="459E6903" wp14:textId="77777777">
      <w:pPr>
        <w:pStyle w:val="Compact"/>
        <w:numPr>
          <w:ilvl w:val="1"/>
          <w:numId w:val="1004"/>
        </w:numPr>
      </w:pPr>
      <w:r>
        <w:t xml:space="preserve">100% Axonic = 5% net (for reference).</w:t>
      </w:r>
    </w:p>
    <w:p xmlns:wp14="http://schemas.microsoft.com/office/word/2010/wordml" w14:paraId="02EB378F" wp14:textId="77777777">
      <w:r>
        <w:pict w14:anchorId="770C7C4C">
          <v:rect style="width:0;height:1.5pt" o:hr="t" o:hrstd="t" o:hralign="center"/>
        </w:pict>
      </w:r>
    </w:p>
    <w:bookmarkEnd w:id="22"/>
    <w:bookmarkStart w:name="policy-example-japanese-offshore-case" w:id="24"/>
    <w:p xmlns:wp14="http://schemas.microsoft.com/office/word/2010/wordml" w14:paraId="4EF4EE6A" wp14:textId="77777777">
      <w:pPr>
        <w:pStyle w:val="Heading2"/>
      </w:pPr>
      <w:r>
        <w:t xml:space="preserve">4) Policy Example – Japanese Offshore Case</w:t>
      </w:r>
    </w:p>
    <w:p xmlns:wp14="http://schemas.microsoft.com/office/word/2010/wordml" w14:paraId="1A9A6BD0" wp14:textId="77777777"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JP $10M 1% NAAR Illustration (Advantage)</w:t>
      </w:r>
    </w:p>
    <w:p xmlns:wp14="http://schemas.microsoft.com/office/word/2010/wordml" w14:paraId="31C8ED2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Premium:</w:t>
      </w:r>
      <w:r>
        <w:t xml:space="preserve"> </w:t>
      </w:r>
      <w:r>
        <w:t xml:space="preserve">$10,000,000 single-pay.</w:t>
      </w:r>
    </w:p>
    <w:p xmlns:wp14="http://schemas.microsoft.com/office/word/2010/wordml" w14:paraId="3429BF90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Projection Basis:</w:t>
      </w:r>
      <w:r>
        <w:t xml:space="preserve"> </w:t>
      </w:r>
      <w:r>
        <w:t xml:space="preserve">9% assumed investment return, net of Crystal’s 1% RIA fee, before insurance costs.</w:t>
      </w:r>
    </w:p>
    <w:bookmarkStart w:name="X194679310a7decd7a0ea4048e79a0208599fcbd" w:id="23"/>
    <w:p xmlns:wp14="http://schemas.microsoft.com/office/word/2010/wordml" w14:paraId="0CA4FF94" wp14:textId="77777777">
      <w:pPr>
        <w:pStyle w:val="Heading3"/>
      </w:pPr>
      <w:r>
        <w:t xml:space="preserve">Year-by-Year Highlights (Illustration Extract)</w:t>
      </w:r>
    </w:p>
    <w:p xmlns:wp14="http://schemas.microsoft.com/office/word/2010/wordml" w14:paraId="7D59031D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Year 1:</w:t>
      </w:r>
    </w:p>
    <w:p xmlns:wp14="http://schemas.microsoft.com/office/word/2010/wordml" w14:paraId="4DA08385" wp14:textId="77777777">
      <w:pPr>
        <w:pStyle w:val="Compact"/>
        <w:numPr>
          <w:ilvl w:val="1"/>
          <w:numId w:val="1007"/>
        </w:numPr>
      </w:pPr>
      <w:r>
        <w:t xml:space="preserve">Fund Value: ~$10,235,929</w:t>
      </w:r>
    </w:p>
    <w:p xmlns:wp14="http://schemas.microsoft.com/office/word/2010/wordml" w14:paraId="1F41353F" wp14:textId="77777777">
      <w:pPr>
        <w:pStyle w:val="Compact"/>
        <w:numPr>
          <w:ilvl w:val="1"/>
          <w:numId w:val="1007"/>
        </w:numPr>
      </w:pPr>
      <w:r>
        <w:t xml:space="preserve">Surrender Value: ~$9,395,929</w:t>
      </w:r>
    </w:p>
    <w:p xmlns:wp14="http://schemas.microsoft.com/office/word/2010/wordml" w14:paraId="6D873A64" wp14:textId="77777777">
      <w:pPr>
        <w:pStyle w:val="Compact"/>
        <w:numPr>
          <w:ilvl w:val="1"/>
          <w:numId w:val="1007"/>
        </w:numPr>
      </w:pPr>
      <w:r>
        <w:t xml:space="preserve">Net Amount at Risk: ~$102,360</w:t>
      </w:r>
    </w:p>
    <w:p xmlns:wp14="http://schemas.microsoft.com/office/word/2010/wordml" w14:paraId="7A7ED560" wp14:textId="77777777">
      <w:pPr>
        <w:pStyle w:val="Compact"/>
        <w:numPr>
          <w:ilvl w:val="1"/>
          <w:numId w:val="1007"/>
        </w:numPr>
      </w:pPr>
      <w:r>
        <w:t xml:space="preserve">Total Death Benefit: ~$10,338,289</w:t>
      </w:r>
    </w:p>
    <w:p xmlns:wp14="http://schemas.microsoft.com/office/word/2010/wordml" w14:paraId="0A607F15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Year 2:</w:t>
      </w:r>
    </w:p>
    <w:p xmlns:wp14="http://schemas.microsoft.com/office/word/2010/wordml" w14:paraId="4E9D0734" wp14:textId="77777777">
      <w:pPr>
        <w:pStyle w:val="Compact"/>
        <w:numPr>
          <w:ilvl w:val="1"/>
          <w:numId w:val="1008"/>
        </w:numPr>
      </w:pPr>
      <w:r>
        <w:t xml:space="preserve">Fund Value: ~$11,014,752</w:t>
      </w:r>
    </w:p>
    <w:p xmlns:wp14="http://schemas.microsoft.com/office/word/2010/wordml" w14:paraId="311BB0E6" wp14:textId="77777777">
      <w:pPr>
        <w:pStyle w:val="Compact"/>
        <w:numPr>
          <w:ilvl w:val="1"/>
          <w:numId w:val="1008"/>
        </w:numPr>
      </w:pPr>
      <w:r>
        <w:t xml:space="preserve">Surrender Value: ~$10,294,752</w:t>
      </w:r>
    </w:p>
    <w:p xmlns:wp14="http://schemas.microsoft.com/office/word/2010/wordml" w14:paraId="2833544E" wp14:textId="77777777">
      <w:pPr>
        <w:pStyle w:val="Compact"/>
        <w:numPr>
          <w:ilvl w:val="1"/>
          <w:numId w:val="1008"/>
        </w:numPr>
      </w:pPr>
      <w:r>
        <w:t xml:space="preserve">Net Amount at Risk: ~$110,147</w:t>
      </w:r>
    </w:p>
    <w:p xmlns:wp14="http://schemas.microsoft.com/office/word/2010/wordml" w14:paraId="0FB880B2" wp14:textId="77777777">
      <w:pPr>
        <w:pStyle w:val="Compact"/>
        <w:numPr>
          <w:ilvl w:val="1"/>
          <w:numId w:val="1008"/>
        </w:numPr>
      </w:pPr>
      <w:r>
        <w:t xml:space="preserve">Death Benefit: ~$11,124,899</w:t>
      </w:r>
    </w:p>
    <w:p xmlns:wp14="http://schemas.microsoft.com/office/word/2010/wordml" w14:paraId="224AD1FF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Year 5:</w:t>
      </w:r>
    </w:p>
    <w:p xmlns:wp14="http://schemas.microsoft.com/office/word/2010/wordml" w14:paraId="43A1AF57" wp14:textId="77777777">
      <w:pPr>
        <w:pStyle w:val="Compact"/>
        <w:numPr>
          <w:ilvl w:val="1"/>
          <w:numId w:val="1009"/>
        </w:numPr>
      </w:pPr>
      <w:r>
        <w:t xml:space="preserve">Fund Value: ~$13,829,169</w:t>
      </w:r>
    </w:p>
    <w:p xmlns:wp14="http://schemas.microsoft.com/office/word/2010/wordml" w14:paraId="5BA006F4" wp14:textId="77777777">
      <w:pPr>
        <w:pStyle w:val="Compact"/>
        <w:numPr>
          <w:ilvl w:val="1"/>
          <w:numId w:val="1009"/>
        </w:numPr>
      </w:pPr>
      <w:r>
        <w:t xml:space="preserve">Surrender Value: ~$13,429,169</w:t>
      </w:r>
    </w:p>
    <w:p xmlns:wp14="http://schemas.microsoft.com/office/word/2010/wordml" w14:paraId="7328F426" wp14:textId="77777777">
      <w:pPr>
        <w:pStyle w:val="Compact"/>
        <w:numPr>
          <w:ilvl w:val="1"/>
          <w:numId w:val="1009"/>
        </w:numPr>
      </w:pPr>
      <w:r>
        <w:t xml:space="preserve">Death Benefit: ~$13,939,316</w:t>
      </w:r>
    </w:p>
    <w:p xmlns:wp14="http://schemas.microsoft.com/office/word/2010/wordml" w14:paraId="0C540A95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Year 10:</w:t>
      </w:r>
    </w:p>
    <w:p xmlns:wp14="http://schemas.microsoft.com/office/word/2010/wordml" w14:paraId="16E18274" wp14:textId="77777777">
      <w:pPr>
        <w:pStyle w:val="Compact"/>
        <w:numPr>
          <w:ilvl w:val="1"/>
          <w:numId w:val="1010"/>
        </w:numPr>
      </w:pPr>
      <w:r>
        <w:t xml:space="preserve">Fund Value: ~$20,538,512</w:t>
      </w:r>
    </w:p>
    <w:p xmlns:wp14="http://schemas.microsoft.com/office/word/2010/wordml" w14:paraId="0EC058E5" wp14:textId="77777777">
      <w:pPr>
        <w:pStyle w:val="Compact"/>
        <w:numPr>
          <w:ilvl w:val="1"/>
          <w:numId w:val="1010"/>
        </w:numPr>
      </w:pPr>
      <w:r>
        <w:t xml:space="preserve">Surrender Value: ~$20,538,512</w:t>
      </w:r>
    </w:p>
    <w:p xmlns:wp14="http://schemas.microsoft.com/office/word/2010/wordml" w14:paraId="2CA3251D" wp14:textId="77777777">
      <w:pPr>
        <w:pStyle w:val="Compact"/>
        <w:numPr>
          <w:ilvl w:val="1"/>
          <w:numId w:val="1010"/>
        </w:numPr>
      </w:pPr>
      <w:r>
        <w:t xml:space="preserve">Death Benefit: ~$20,658,659</w:t>
      </w:r>
    </w:p>
    <w:p xmlns:wp14="http://schemas.microsoft.com/office/word/2010/wordml" w14:paraId="23D41270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Year 20:</w:t>
      </w:r>
    </w:p>
    <w:p xmlns:wp14="http://schemas.microsoft.com/office/word/2010/wordml" w14:paraId="19D8BFC8" wp14:textId="77777777">
      <w:pPr>
        <w:pStyle w:val="Compact"/>
        <w:numPr>
          <w:ilvl w:val="1"/>
          <w:numId w:val="1011"/>
        </w:numPr>
      </w:pPr>
      <w:r>
        <w:t xml:space="preserve">Fund Value: ~$47,626,388</w:t>
      </w:r>
    </w:p>
    <w:p xmlns:wp14="http://schemas.microsoft.com/office/word/2010/wordml" w14:paraId="6CA3F667" wp14:textId="77777777">
      <w:pPr>
        <w:pStyle w:val="Compact"/>
        <w:numPr>
          <w:ilvl w:val="1"/>
          <w:numId w:val="1011"/>
        </w:numPr>
      </w:pPr>
      <w:r>
        <w:t xml:space="preserve">Surrender Value: ~$47,626,388</w:t>
      </w:r>
    </w:p>
    <w:p xmlns:wp14="http://schemas.microsoft.com/office/word/2010/wordml" w14:paraId="707D7E48" wp14:textId="77777777">
      <w:pPr>
        <w:pStyle w:val="Compact"/>
        <w:numPr>
          <w:ilvl w:val="1"/>
          <w:numId w:val="1011"/>
        </w:numPr>
      </w:pPr>
      <w:r>
        <w:t xml:space="preserve">Death Benefit: ~$47,746,535</w:t>
      </w:r>
    </w:p>
    <w:p xmlns:wp14="http://schemas.microsoft.com/office/word/2010/wordml" w14:paraId="6019F6C7" wp14:textId="77777777">
      <w:pPr>
        <w:pStyle w:val="FirstParagraph"/>
      </w:pPr>
      <w:r>
        <w:rPr>
          <w:b/>
          <w:bCs/>
        </w:rPr>
        <w:t xml:space="preserve">Policy Charges:</w:t>
      </w:r>
      <w:r>
        <w:t xml:space="preserve"> </w:t>
      </w:r>
      <w:r>
        <w:t xml:space="preserve">- $120,000 annual admin charge (Years 1–8), waived thereafter.</w:t>
      </w:r>
      <w:r>
        <w:t xml:space="preserve"> </w:t>
      </w:r>
      <w:r>
        <w:t xml:space="preserve">- 30 bps ongoing asset charge (20 Advantage / 10 3C).</w:t>
      </w:r>
      <w:r>
        <w:t xml:space="preserve"> </w:t>
      </w:r>
      <w:r>
        <w:t xml:space="preserve">- 4% broker commission.</w:t>
      </w:r>
    </w:p>
    <w:p xmlns:wp14="http://schemas.microsoft.com/office/word/2010/wordml" w14:paraId="6A05A809" wp14:textId="77777777">
      <w:r>
        <w:pict w14:anchorId="6D7798A3">
          <v:rect style="width:0;height:1.5pt" o:hr="t" o:hrstd="t" o:hralign="center"/>
        </w:pict>
      </w:r>
    </w:p>
    <w:bookmarkEnd w:id="23"/>
    <w:bookmarkEnd w:id="24"/>
    <w:bookmarkStart w:name="process-implementation" w:id="25"/>
    <w:p xmlns:wp14="http://schemas.microsoft.com/office/word/2010/wordml" w14:paraId="34160739" wp14:textId="77777777">
      <w:pPr>
        <w:pStyle w:val="Heading2"/>
      </w:pPr>
      <w:r>
        <w:t xml:space="preserve">5) Process &amp; Implementation</w:t>
      </w:r>
    </w:p>
    <w:p xmlns:wp14="http://schemas.microsoft.com/office/word/2010/wordml" w14:paraId="2ECB1A71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Prospect ID → Application → Simplified underwriting → Funding ($2M min) → Allocation to Crystal.</w:t>
      </w:r>
    </w:p>
    <w:p xmlns:wp14="http://schemas.microsoft.com/office/word/2010/wordml" w14:paraId="4B54F391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8–10 weeks new money; 10–12 weeks for 1035 exchange.</w:t>
      </w:r>
    </w:p>
    <w:p xmlns:wp14="http://schemas.microsoft.com/office/word/2010/wordml" w14:paraId="4750643E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PPLI intake (KYC/AML, UBO, source of funds, trust docs) + Crystal investment proposal.</w:t>
      </w:r>
    </w:p>
    <w:p xmlns:wp14="http://schemas.microsoft.com/office/word/2010/wordml" w14:paraId="5A39BBE3" wp14:textId="77777777">
      <w:r>
        <w:pict w14:anchorId="25DB0F07">
          <v:rect style="width:0;height:1.5pt" o:hr="t" o:hrstd="t" o:hralign="center"/>
        </w:pict>
      </w:r>
    </w:p>
    <w:bookmarkEnd w:id="25"/>
    <w:bookmarkStart w:name="differentiators" w:id="26"/>
    <w:p xmlns:wp14="http://schemas.microsoft.com/office/word/2010/wordml" w14:paraId="49D5D901" wp14:textId="77777777">
      <w:pPr>
        <w:pStyle w:val="Heading2"/>
      </w:pPr>
      <w:r>
        <w:t xml:space="preserve">6) Differentiators</w:t>
      </w:r>
    </w:p>
    <w:p xmlns:wp14="http://schemas.microsoft.com/office/word/2010/wordml" w14:paraId="6F1784CE" wp14:textId="77777777">
      <w:pPr>
        <w:pStyle w:val="Compact"/>
        <w:numPr>
          <w:ilvl w:val="0"/>
          <w:numId w:val="1013"/>
        </w:numPr>
      </w:pPr>
      <w:r>
        <w:t xml:space="preserve">Lower policy cost structure (30 bps) vs competitors.</w:t>
      </w:r>
    </w:p>
    <w:p xmlns:wp14="http://schemas.microsoft.com/office/word/2010/wordml" w14:paraId="461CBA10" wp14:textId="77777777">
      <w:pPr>
        <w:pStyle w:val="Compact"/>
        <w:numPr>
          <w:ilvl w:val="0"/>
          <w:numId w:val="1013"/>
        </w:numPr>
      </w:pPr>
      <w:r>
        <w:t xml:space="preserve">Modular allocation: primarily Crystal, with optional access to Axonic guaranteed sleeve.</w:t>
      </w:r>
    </w:p>
    <w:p xmlns:wp14="http://schemas.microsoft.com/office/word/2010/wordml" w14:paraId="17E33AD6" wp14:textId="77777777">
      <w:pPr>
        <w:pStyle w:val="Compact"/>
        <w:numPr>
          <w:ilvl w:val="0"/>
          <w:numId w:val="1013"/>
        </w:numPr>
      </w:pPr>
      <w:r>
        <w:t xml:space="preserve">Ticket size: $2M minimum, scalable to $10M+.</w:t>
      </w:r>
    </w:p>
    <w:p xmlns:wp14="http://schemas.microsoft.com/office/word/2010/wordml" w14:paraId="7DE85DF6" wp14:textId="77777777">
      <w:pPr>
        <w:pStyle w:val="Compact"/>
        <w:numPr>
          <w:ilvl w:val="0"/>
          <w:numId w:val="1013"/>
        </w:numPr>
      </w:pPr>
      <w:r>
        <w:t xml:space="preserve">Offshore jurisdiction fit for Japanese/global UHNW clients.</w:t>
      </w:r>
    </w:p>
    <w:p xmlns:wp14="http://schemas.microsoft.com/office/word/2010/wordml" w14:paraId="41C8F396" wp14:textId="77777777">
      <w:r>
        <w:pict w14:anchorId="3CE7C218">
          <v:rect style="width:0;height:1.5pt" o:hr="t" o:hrstd="t" o:hralign="center"/>
        </w:pict>
      </w:r>
    </w:p>
    <w:bookmarkEnd w:id="26"/>
    <w:bookmarkStart w:name="sources-evidence-map" w:id="27"/>
    <w:p xmlns:wp14="http://schemas.microsoft.com/office/word/2010/wordml" w14:paraId="3D33793A" wp14:textId="77777777">
      <w:pPr>
        <w:pStyle w:val="Heading2"/>
      </w:pPr>
      <w:r>
        <w:t xml:space="preserve">7) Sources &amp; Evidence Map</w:t>
      </w:r>
    </w:p>
    <w:p xmlns:wp14="http://schemas.microsoft.com/office/word/2010/wordml" w14:paraId="7D865477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Illustrations:</w:t>
      </w:r>
      <w:r>
        <w:t xml:space="preserve"> </w:t>
      </w:r>
      <w:r>
        <w:t xml:space="preserve">JP $10M 1% NAAR (Japan offshore); Asia Base Policy (Axcelus Global).</w:t>
      </w:r>
    </w:p>
    <w:p xmlns:wp14="http://schemas.microsoft.com/office/word/2010/wordml" w14:paraId="7C26D828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Fee Splits:</w:t>
      </w:r>
      <w:r>
        <w:t xml:space="preserve"> </w:t>
      </w:r>
      <w:r>
        <w:t xml:space="preserve">Statement of Understanding (3C/Advantage/Ohana).</w:t>
      </w:r>
    </w:p>
    <w:p xmlns:wp14="http://schemas.microsoft.com/office/word/2010/wordml" w14:paraId="0E3F0786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Crystal Performance:</w:t>
      </w:r>
      <w:r>
        <w:t xml:space="preserve"> </w:t>
      </w:r>
      <w:r>
        <w:t xml:space="preserve">Detailed Portfolio Proposal – Crystal.</w:t>
      </w:r>
    </w:p>
    <w:p xmlns:wp14="http://schemas.microsoft.com/office/word/2010/wordml" w14:paraId="79FA7FA7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Minimums &amp; Issue Rules:</w:t>
      </w:r>
      <w:r>
        <w:t xml:space="preserve"> </w:t>
      </w:r>
      <w:r>
        <w:t xml:space="preserve">Lombard Guidelines.</w:t>
      </w:r>
    </w:p>
    <w:p xmlns:wp14="http://schemas.microsoft.com/office/word/2010/wordml" w14:paraId="5C3060FB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TPBC PPLI Process.</w:t>
      </w:r>
    </w:p>
    <w:p xmlns:wp14="http://schemas.microsoft.com/office/word/2010/wordml" w14:paraId="06AF101A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 Capacity:</w:t>
      </w:r>
      <w:r>
        <w:t xml:space="preserve"> </w:t>
      </w:r>
      <w:r>
        <w:t xml:space="preserve">Axcelus Fact Sheet.</w:t>
      </w:r>
    </w:p>
    <w:bookmarkEnd w:id="27"/>
    <w:bookmarkEnd w:id="28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68ABF34"/>
    <w:rsid w:val="068ABF3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278F1"/>
  <w15:docId w15:val="{55B29691-D27A-4933-BC4C-EACB0ACC42D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179EC7BAA3B4C8960759BCECE82C4" ma:contentTypeVersion="10" ma:contentTypeDescription="Create a new document." ma:contentTypeScope="" ma:versionID="ebf16ac6c01586f06e5ac4d08799cc9d">
  <xsd:schema xmlns:xsd="http://www.w3.org/2001/XMLSchema" xmlns:xs="http://www.w3.org/2001/XMLSchema" xmlns:p="http://schemas.microsoft.com/office/2006/metadata/properties" xmlns:ns2="1df343e7-5bdb-40d4-9440-f7a8bcca0d8a" targetNamespace="http://schemas.microsoft.com/office/2006/metadata/properties" ma:root="true" ma:fieldsID="9d90a90c09512a4c7b3d6a3ad139f09c" ns2:_="">
    <xsd:import namespace="1df343e7-5bdb-40d4-9440-f7a8bcca0d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grg" minOccurs="0"/>
                <xsd:element ref="ns2:ToolType" minOccurs="0"/>
                <xsd:element ref="ns2:DocumentPurpose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343e7-5bdb-40d4-9440-f7a8bcca0d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grg" ma:index="11" nillable="true" ma:displayName=" Strategy Category" ma:format="Dropdown" ma:internalName="rgrg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tirement"/>
                        <xsd:enumeration value="Annuities"/>
                        <xsd:enumeration value="Life Insurance-Based Strategies"/>
                        <xsd:enumeration value="Alternative Investment Structures"/>
                        <xsd:enumeration value="Protection Planning"/>
                        <xsd:enumeration value="Other Planning Tools"/>
                        <xsd:enumeration value="Real Estate"/>
                        <xsd:enumeration value="Tax Planning"/>
                        <xsd:enumeration value="estate planning"/>
                        <xsd:enumeration value="Gifting strategy"/>
                        <xsd:enumeration value="Income Planning"/>
                        <xsd:enumeration value="Financial Planning Process"/>
                        <xsd:enumeration value="Executive Compensation"/>
                        <xsd:enumeration value="TPBC Related"/>
                        <xsd:enumeration value="Prospecting Strateg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olType" ma:index="12" nillable="true" ma:displayName="Tool Type" ma:format="Dropdown" ma:internalName="ToolType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IRA"/>
                        <xsd:enumeration value="401(k)"/>
                        <xsd:enumeration value="MYGA"/>
                        <xsd:enumeration value="SPIA"/>
                        <xsd:enumeration value="FIA"/>
                        <xsd:enumeration value="VUL Annuity"/>
                        <xsd:enumeration value="Deferred Income Annuity (DIA)"/>
                        <xsd:enumeration value="101(a) Plan"/>
                        <xsd:enumeration value="Split Dollar Planning"/>
                        <xsd:enumeration value="Premium Financing"/>
                        <xsd:enumeration value="PPLI"/>
                        <xsd:enumeration value="VUL (Variable Universal Life)"/>
                        <xsd:enumeration value="IUL (Indexed Universal Life)"/>
                        <xsd:enumeration value="Whole Life"/>
                        <xsd:enumeration value="Term Life"/>
                        <xsd:enumeration value="1031 Exchange"/>
                        <xsd:enumeration value="DST (Delaware Statutory Trust)"/>
                        <xsd:enumeration value="QOZ (Qualified Opportunity Zone)"/>
                        <xsd:enumeration value="Real Estate Exit Planning"/>
                        <xsd:enumeration value="Cost Segregation"/>
                        <xsd:enumeration value="SMA (Separately Managed Account)"/>
                        <xsd:enumeration value="IDF (Insurance Dedicated Fund)"/>
                        <xsd:enumeration value="Disability Insurance"/>
                        <xsd:enumeration value="Buy-Sell Agreement Funding"/>
                        <xsd:enumeration value="Long term care insurance"/>
                        <xsd:enumeration value="Living trust"/>
                        <xsd:enumeration value="financial planning process"/>
                        <xsd:enumeration value="1035 exchange"/>
                        <xsd:enumeration value="403(b)"/>
                        <xsd:enumeration value="Will"/>
                        <xsd:enumeration value="Tax Deferred accounts"/>
                        <xsd:enumeration value="NA"/>
                        <xsd:enumeration value="Life insurance"/>
                        <xsd:enumeration value="Advisor Development"/>
                        <xsd:enumeration value="Trusts"/>
                        <xsd:enumeration value="Life Settlem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Purpose" ma:index="13" nillable="true" ma:displayName="Document Purpose" ma:format="Dropdown" ma:internalName="DocumentPurpose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dvisor Training"/>
                        <xsd:enumeration value="Client-Facing"/>
                        <xsd:enumeration value="Case Study"/>
                        <xsd:enumeration value="Compliance Template"/>
                        <xsd:enumeration value="Internal Draft"/>
                        <xsd:enumeration value="Advisor Template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4" ma:displayName="Status" ma:format="Dropdown" ma:internalName="Status">
      <xsd:simpleType>
        <xsd:union memberTypes="dms:Text">
          <xsd:simpleType>
            <xsd:restriction base="dms:Choice">
              <xsd:enumeration value="Draft"/>
              <xsd:enumeration value="In Review"/>
              <xsd:enumeration value="Final"/>
              <xsd:enumeration value="Needs Update"/>
              <xsd:enumeration value="Reviewed By The Fellowship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Document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olType xmlns="1df343e7-5bdb-40d4-9440-f7a8bcca0d8a"/>
    <Status xmlns="1df343e7-5bdb-40d4-9440-f7a8bcca0d8a"/>
    <DocumentPurpose xmlns="1df343e7-5bdb-40d4-9440-f7a8bcca0d8a"/>
    <rgrg xmlns="1df343e7-5bdb-40d4-9440-f7a8bcca0d8a"/>
  </documentManagement>
</p:properties>
</file>

<file path=customXml/itemProps1.xml><?xml version="1.0" encoding="utf-8"?>
<ds:datastoreItem xmlns:ds="http://schemas.openxmlformats.org/officeDocument/2006/customXml" ds:itemID="{D1C7D785-9DE1-4D00-978D-D2CB7F086B95}"/>
</file>

<file path=customXml/itemProps2.xml><?xml version="1.0" encoding="utf-8"?>
<ds:datastoreItem xmlns:ds="http://schemas.openxmlformats.org/officeDocument/2006/customXml" ds:itemID="{52659453-920F-44E4-AE43-A50814F7C252}"/>
</file>

<file path=customXml/itemProps3.xml><?xml version="1.0" encoding="utf-8"?>
<ds:datastoreItem xmlns:ds="http://schemas.openxmlformats.org/officeDocument/2006/customXml" ds:itemID="{1C6C728C-B291-4B29-8DDF-995A2A6EFB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 Xu</cp:lastModifiedBy>
  <dcterms:created xsi:type="dcterms:W3CDTF">2025-09-22T16:17:31Z</dcterms:created>
  <dcterms:modified xsi:type="dcterms:W3CDTF">2026-01-28T04:23:26Z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0x010100AA2179EC7BAA3B4C8960759BCECE82C4</vt:lpwstr>
  </property>
  <property fmtid="{D5CDD505-2E9C-101B-9397-08002B2CF9AE}" pid="3" name="Order">
    <vt:r8>30300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