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200" w:before="0"/>
        <w:jc w:val="center"/>
      </w:pPr>
      <w:r>
        <w:rPr>
          <w:rFonts w:ascii="Century Gothic" w:cs="Century Gothic" w:eastAsia="Century Gothic" w:hAnsi="Century Gothic"/>
          <w:b/>
          <w:bCs/>
          <w:color w:val="003661"/>
          <w:spacing w:val="200"/>
          <w:sz w:val="22"/>
          <w:szCs w:val="22"/>
        </w:rPr>
        <w:t xml:space="preserve">THE PACIFIC BRIDGE COMPANIES</w:t>
      </w:r>
    </w:p>
    <w:p>
      <w:pPr>
        <w:pBdr>
          <w:bottom w:val="single" w:color="0086A3" w:sz="6" w:space="12"/>
        </w:pBdr>
        <w:spacing w:after="40"/>
        <w:jc w:val="center"/>
      </w:pPr>
      <w:r>
        <w:rPr>
          <w:rFonts w:ascii="Century Gothic" w:cs="Century Gothic" w:eastAsia="Century Gothic" w:hAnsi="Century Gothic"/>
          <w:sz w:val="10"/>
          <w:szCs w:val="10"/>
        </w:rPr>
        <w:t xml:space="preserve"> </w:t>
      </w:r>
    </w:p>
    <w:p>
      <w:pPr>
        <w:spacing w:after="100" w:before="0"/>
      </w:pPr>
      <w:r>
        <w:rPr>
          <w:rFonts w:ascii="Century Gothic" w:cs="Century Gothic" w:eastAsia="Century Gothic" w:hAnsi="Century Gothic"/>
          <w:sz w:val="22"/>
          <w:szCs w:val="22"/>
        </w:rPr>
        <w:t xml:space="preserve"/>
      </w:r>
    </w:p>
    <w:p>
      <w:pPr>
        <w:spacing w:after="40" w:before="0"/>
        <w:jc w:val="center"/>
      </w:pPr>
      <w:r>
        <w:rPr>
          <w:rFonts w:ascii="Century Gothic" w:cs="Century Gothic" w:eastAsia="Century Gothic" w:hAnsi="Century Gothic"/>
          <w:b/>
          <w:bCs/>
          <w:color w:val="003661"/>
          <w:sz w:val="56"/>
          <w:szCs w:val="56"/>
        </w:rPr>
        <w:t xml:space="preserve">Private Placement</w:t>
      </w:r>
    </w:p>
    <w:p>
      <w:pPr>
        <w:spacing w:after="120" w:before="0"/>
        <w:jc w:val="center"/>
      </w:pPr>
      <w:r>
        <w:rPr>
          <w:rFonts w:ascii="Century Gothic" w:cs="Century Gothic" w:eastAsia="Century Gothic" w:hAnsi="Century Gothic"/>
          <w:b/>
          <w:bCs/>
          <w:color w:val="003661"/>
          <w:sz w:val="56"/>
          <w:szCs w:val="56"/>
        </w:rPr>
        <w:t xml:space="preserve">Variable Annuity</w:t>
      </w:r>
    </w:p>
    <w:p>
      <w:pPr>
        <w:spacing w:after="40" w:before="0"/>
        <w:jc w:val="center"/>
      </w:pPr>
      <w:r>
        <w:rPr>
          <w:rFonts w:ascii="Century Gothic" w:cs="Century Gothic" w:eastAsia="Century Gothic" w:hAnsi="Century Gothic"/>
          <w:color w:val="0086A3"/>
          <w:sz w:val="40"/>
          <w:szCs w:val="40"/>
        </w:rPr>
        <w:t xml:space="preserve">Master Playbook</w:t>
      </w:r>
    </w:p>
    <w:p>
      <w:pPr>
        <w:spacing w:after="300" w:before="0"/>
        <w:jc w:val="center"/>
      </w:pPr>
      <w:r>
        <w:rPr>
          <w:rFonts w:ascii="Century Gothic" w:cs="Century Gothic" w:eastAsia="Century Gothic" w:hAnsi="Century Gothic"/>
          <w:color w:val="4C5C68"/>
          <w:sz w:val="24"/>
          <w:szCs w:val="24"/>
        </w:rPr>
        <w:t xml:space="preserve">Phase 1: Foundations, Structure &amp; Compliance</w:t>
      </w:r>
    </w:p>
    <w:p>
      <w:pPr>
        <w:pBdr>
          <w:top w:val="single" w:color="0086A3" w:sz="2" w:space="12"/>
        </w:pBdr>
        <w:spacing w:before="200"/>
        <w:jc w:val="center"/>
      </w:pPr>
      <w:r>
        <w:rPr>
          <w:rFonts w:ascii="Century Gothic" w:cs="Century Gothic" w:eastAsia="Century Gothic" w:hAnsi="Century Gothic"/>
          <w:sz w:val="10"/>
          <w:szCs w:val="10"/>
        </w:rPr>
        <w:t xml:space="preserve"> </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40" w:before="0"/>
        <w:jc w:val="center"/>
      </w:pPr>
      <w:r>
        <w:rPr>
          <w:rFonts w:ascii="Century Gothic" w:cs="Century Gothic" w:eastAsia="Century Gothic" w:hAnsi="Century Gothic"/>
          <w:color w:val="4C5C68"/>
          <w:sz w:val="20"/>
          <w:szCs w:val="20"/>
        </w:rPr>
        <w:t xml:space="preserve">Confidential</w:t>
      </w:r>
    </w:p>
    <w:p>
      <w:pPr>
        <w:spacing w:after="160" w:before="0"/>
        <w:jc w:val="center"/>
      </w:pPr>
      <w:r>
        <w:rPr>
          <w:rFonts w:ascii="Century Gothic" w:cs="Century Gothic" w:eastAsia="Century Gothic" w:hAnsi="Century Gothic"/>
          <w:color w:val="4C5C68"/>
          <w:sz w:val="20"/>
          <w:szCs w:val="20"/>
        </w:rPr>
        <w:t xml:space="preserve">March 2026</w:t>
      </w:r>
    </w:p>
    <w:p>
      <w:pPr>
        <w:sectPr>
          <w:pgSz w:w="12240" w:h="15840" w:orient="portrait"/>
          <w:pgMar w:top="1440" w:right="1440" w:bottom="1440" w:left="1440" w:header="708" w:footer="708" w:gutter="0"/>
          <w:pgNumType/>
          <w:docGrid w:linePitch="360"/>
        </w:sectPr>
      </w:pPr>
    </w:p>
    <w:p>
      <w:pPr>
        <w:spacing w:after="200"/>
      </w:pPr>
      <w:r>
        <w:rPr>
          <w:rFonts w:ascii="Century Gothic" w:cs="Century Gothic" w:eastAsia="Century Gothic" w:hAnsi="Century Gothic"/>
          <w:b/>
          <w:bCs/>
          <w:color w:val="003661"/>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entury Gothic" w:cs="Century Gothic" w:eastAsia="Century Gothic" w:hAnsi="Century Gothic"/>
          <w:sz w:val="22"/>
          <w:szCs w:val="22"/>
        </w:rPr>
        <w:t xml:space="preserve">Part 1: PPVA Foundations</w:t>
      </w:r>
    </w:p>
    <w:p>
      <w:pPr>
        <w:pStyle w:val="Heading2"/>
      </w:pPr>
      <w:r>
        <w:rPr>
          <w:rFonts w:ascii="Century Gothic" w:cs="Century Gothic" w:eastAsia="Century Gothic" w:hAnsi="Century Gothic"/>
          <w:sz w:val="22"/>
          <w:szCs w:val="22"/>
        </w:rPr>
        <w:t xml:space="preserve">What Is a Private Placement Variable Annuity?</w:t>
      </w:r>
    </w:p>
    <w:p>
      <w:pPr>
        <w:spacing w:after="160" w:before="0"/>
      </w:pPr>
      <w:r>
        <w:rPr>
          <w:rFonts w:ascii="Century Gothic" w:cs="Century Gothic" w:eastAsia="Century Gothic" w:hAnsi="Century Gothic"/>
          <w:sz w:val="22"/>
          <w:szCs w:val="22"/>
        </w:rPr>
        <w:t xml:space="preserve">A Private Placement Variable Annuity (PPVA) is a tax-advantaged insurance product designed for qualified purchasers and accredited investors. Unlike retail variable annuities sold through traditional channels, a PPVA is a privately negotiated contract between the policyholder and a life insurance carrier, offering access to institutional-grade investment strategies within a tax-deferred insurance wrapper.</w:t>
      </w:r>
    </w:p>
    <w:p>
      <w:pPr>
        <w:spacing w:after="160" w:before="0"/>
      </w:pPr>
      <w:r>
        <w:rPr>
          <w:rFonts w:ascii="Century Gothic" w:cs="Century Gothic" w:eastAsia="Century Gothic" w:hAnsi="Century Gothic"/>
          <w:sz w:val="22"/>
          <w:szCs w:val="22"/>
        </w:rPr>
        <w:t xml:space="preserve">The key distinction: in a PPVA, the policyholder’s premium is allocated to a separately managed account (SMA) or dedicated investment vehicle, rather than the standardized sub-accounts found in retail products. This means the investment strategy can be customized to the client’s specific goals and managed by the money manager of their choosing.</w:t>
      </w:r>
    </w:p>
    <w:p>
      <w:pPr>
        <w:spacing w:after="160" w:before="0"/>
      </w:pPr>
      <w:r>
        <w:rPr>
          <w:rFonts w:ascii="Century Gothic" w:cs="Century Gothic" w:eastAsia="Century Gothic" w:hAnsi="Century Gothic"/>
          <w:b/>
          <w:bCs/>
          <w:sz w:val="22"/>
          <w:szCs w:val="22"/>
        </w:rPr>
        <w:t xml:space="preserve">In practical terms: </w:t>
      </w:r>
      <w:r>
        <w:rPr>
          <w:rFonts w:ascii="Century Gothic" w:cs="Century Gothic" w:eastAsia="Century Gothic" w:hAnsi="Century Gothic"/>
          <w:sz w:val="22"/>
          <w:szCs w:val="22"/>
        </w:rPr>
        <w:t xml:space="preserve">a PPVA allows a high-net-worth individual or entity to move investable assets into a structure where investment returns compound tax-deferred, estate transfer is simplified, and the investment portfolio can be actively managed by a selected advisor—all within a compliant insurance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A3" w:sz="6"/>
              <w:left w:val="single" w:color="C5C3C6" w:sz="1"/>
              <w:bottom w:val="single" w:color="C5C3C6" w:sz="1"/>
              <w:right w:val="single" w:color="C5C3C6" w:sz="1"/>
            </w:tcBorders>
            <w:shd w:fill="D0EEF4" w:val="clear"/>
            <w:tcMar>
              <w:top w:type="dxa" w:w="120"/>
              <w:left w:type="dxa" w:w="200"/>
              <w:bottom w:type="dxa" w:w="120"/>
              <w:right w:type="dxa" w:w="200"/>
            </w:tcMar>
          </w:tcPr>
          <w:p>
            <w:r>
              <w:rPr>
                <w:rFonts w:ascii="Century Gothic" w:cs="Century Gothic" w:eastAsia="Century Gothic" w:hAnsi="Century Gothic"/>
                <w:b/>
                <w:bCs/>
                <w:sz w:val="22"/>
                <w:szCs w:val="22"/>
              </w:rPr>
              <w:t xml:space="preserve">PPVA vs. Traditional Variable Annuity</w:t>
            </w:r>
          </w:p>
          <w:p>
            <w:pPr>
              <w:spacing w:after="80"/>
            </w:pPr>
            <w:r>
              <w:rPr>
                <w:rFonts w:ascii="Century Gothic" w:cs="Century Gothic" w:eastAsia="Century Gothic" w:hAnsi="Century Gothic"/>
                <w:sz w:val="20"/>
                <w:szCs w:val="20"/>
              </w:rPr>
              <w:t xml:space="preserve">Traditional VA: Retail product, standardized sub-accounts, limited investment options, higher internal costs, available to general public.</w:t>
            </w:r>
          </w:p>
          <w:p>
            <w:pPr>
              <w:spacing w:after="80"/>
            </w:pPr>
            <w:r>
              <w:rPr>
                <w:rFonts w:ascii="Century Gothic" w:cs="Century Gothic" w:eastAsia="Century Gothic" w:hAnsi="Century Gothic"/>
                <w:sz w:val="20"/>
                <w:szCs w:val="20"/>
              </w:rPr>
              <w:t xml:space="preserve">PPVA: Privately placed, custom SMA with chosen money manager, institutional pricing, lower internal costs, restricted to qualified purchasers ($5M+ in investments) or accredited investors.</w:t>
            </w:r>
          </w:p>
        </w:tc>
      </w:tr>
    </w:tbl>
    <w:p>
      <w:pPr>
        <w:pStyle w:val="Heading2"/>
      </w:pPr>
      <w:r>
        <w:rPr>
          <w:rFonts w:ascii="Century Gothic" w:cs="Century Gothic" w:eastAsia="Century Gothic" w:hAnsi="Century Gothic"/>
          <w:sz w:val="22"/>
          <w:szCs w:val="22"/>
        </w:rPr>
        <w:t xml:space="preserve">How the Structure Works</w:t>
      </w:r>
    </w:p>
    <w:p>
      <w:pPr>
        <w:spacing w:after="160" w:before="0"/>
      </w:pPr>
      <w:r>
        <w:rPr>
          <w:rFonts w:ascii="Century Gothic" w:cs="Century Gothic" w:eastAsia="Century Gothic" w:hAnsi="Century Gothic"/>
          <w:sz w:val="22"/>
          <w:szCs w:val="22"/>
        </w:rPr>
        <w:t xml:space="preserve">A PPVA operates through a specific chain of entities and agreements that maintain regulatory compliance while providing maximum flexibility:</w:t>
      </w:r>
    </w:p>
    <w:p>
      <w:pPr>
        <w:pStyle w:val="ListParagraph"/>
        <w:numPr>
          <w:ilvl w:val="0"/>
          <w:numId w:val="2"/>
        </w:numPr>
        <w:spacing w:after="100"/>
      </w:pPr>
      <w:r>
        <w:rPr>
          <w:rFonts w:ascii="Century Gothic" w:cs="Century Gothic" w:eastAsia="Century Gothic" w:hAnsi="Century Gothic"/>
          <w:b/>
          <w:bCs/>
          <w:sz w:val="22"/>
          <w:szCs w:val="22"/>
        </w:rPr>
        <w:t xml:space="preserve">The Client (Policy Owner): </w:t>
      </w:r>
      <w:r>
        <w:rPr>
          <w:rFonts w:ascii="Century Gothic" w:cs="Century Gothic" w:eastAsia="Century Gothic" w:hAnsi="Century Gothic"/>
          <w:sz w:val="22"/>
          <w:szCs w:val="22"/>
        </w:rPr>
        <w:t xml:space="preserve">Typically a trust, LLC, or individual. The client owns the annuity contract and is the economic beneficiary of the structure.</w:t>
      </w:r>
    </w:p>
    <w:p>
      <w:pPr>
        <w:pStyle w:val="ListParagraph"/>
        <w:numPr>
          <w:ilvl w:val="0"/>
          <w:numId w:val="2"/>
        </w:numPr>
        <w:spacing w:after="100"/>
      </w:pPr>
      <w:r>
        <w:rPr>
          <w:rFonts w:ascii="Century Gothic" w:cs="Century Gothic" w:eastAsia="Century Gothic" w:hAnsi="Century Gothic"/>
          <w:b/>
          <w:bCs/>
          <w:sz w:val="22"/>
          <w:szCs w:val="22"/>
        </w:rPr>
        <w:t xml:space="preserve">The Insurance Carrier: </w:t>
      </w:r>
      <w:r>
        <w:rPr>
          <w:rFonts w:ascii="Century Gothic" w:cs="Century Gothic" w:eastAsia="Century Gothic" w:hAnsi="Century Gothic"/>
          <w:sz w:val="22"/>
          <w:szCs w:val="22"/>
        </w:rPr>
        <w:t xml:space="preserve">Issues and administers the annuity policy. The carrier holds the assets in a segregated account, provides the tax wrapper, handles compliance monitoring, and manages policy administration.</w:t>
      </w:r>
    </w:p>
    <w:p>
      <w:pPr>
        <w:pStyle w:val="ListParagraph"/>
        <w:numPr>
          <w:ilvl w:val="0"/>
          <w:numId w:val="2"/>
        </w:numPr>
        <w:spacing w:after="100"/>
      </w:pPr>
      <w:r>
        <w:rPr>
          <w:rFonts w:ascii="Century Gothic" w:cs="Century Gothic" w:eastAsia="Century Gothic" w:hAnsi="Century Gothic"/>
          <w:b/>
          <w:bCs/>
          <w:sz w:val="22"/>
          <w:szCs w:val="22"/>
        </w:rPr>
        <w:t xml:space="preserve">The Separately Managed Account (SMA): </w:t>
      </w:r>
      <w:r>
        <w:rPr>
          <w:rFonts w:ascii="Century Gothic" w:cs="Century Gothic" w:eastAsia="Century Gothic" w:hAnsi="Century Gothic"/>
          <w:sz w:val="22"/>
          <w:szCs w:val="22"/>
        </w:rPr>
        <w:t xml:space="preserve">Created under the carrier’s entity structure. The SMA is the investment vehicle where the client’s premium is deployed. It is owned by the carrier, not the client.</w:t>
      </w:r>
    </w:p>
    <w:p>
      <w:pPr>
        <w:pStyle w:val="ListParagraph"/>
        <w:numPr>
          <w:ilvl w:val="0"/>
          <w:numId w:val="2"/>
        </w:numPr>
        <w:spacing w:after="100"/>
      </w:pPr>
      <w:r>
        <w:rPr>
          <w:rFonts w:ascii="Century Gothic" w:cs="Century Gothic" w:eastAsia="Century Gothic" w:hAnsi="Century Gothic"/>
          <w:b/>
          <w:bCs/>
          <w:sz w:val="22"/>
          <w:szCs w:val="22"/>
        </w:rPr>
        <w:t xml:space="preserve">The Investment Advisor (RIA): </w:t>
      </w:r>
      <w:r>
        <w:rPr>
          <w:rFonts w:ascii="Century Gothic" w:cs="Century Gothic" w:eastAsia="Century Gothic" w:hAnsi="Century Gothic"/>
          <w:sz w:val="22"/>
          <w:szCs w:val="22"/>
        </w:rPr>
        <w:t xml:space="preserve">A registered investment advisor receives discretionary authority from the carrier to manage the SMA portfolio. The RIA selects investments, rebalances, and provides ongoing fiduciary management.</w:t>
      </w:r>
    </w:p>
    <w:p>
      <w:pPr>
        <w:pStyle w:val="ListParagraph"/>
        <w:numPr>
          <w:ilvl w:val="0"/>
          <w:numId w:val="2"/>
        </w:numPr>
        <w:spacing w:after="100"/>
      </w:pPr>
      <w:r>
        <w:rPr>
          <w:rFonts w:ascii="Century Gothic" w:cs="Century Gothic" w:eastAsia="Century Gothic" w:hAnsi="Century Gothic"/>
          <w:b/>
          <w:bCs/>
          <w:sz w:val="22"/>
          <w:szCs w:val="22"/>
        </w:rPr>
        <w:t xml:space="preserve">The Money Manager: </w:t>
      </w:r>
      <w:r>
        <w:rPr>
          <w:rFonts w:ascii="Century Gothic" w:cs="Century Gothic" w:eastAsia="Century Gothic" w:hAnsi="Century Gothic"/>
          <w:sz w:val="22"/>
          <w:szCs w:val="22"/>
        </w:rPr>
        <w:t xml:space="preserve">Provides the underlying investment strategies deployed within the SMA. May manage one or multiple allocations including fixed indexed annuities, mutual funds, alternative investments, and cash.</w:t>
      </w:r>
    </w:p>
    <w:p>
      <w:pPr>
        <w:pStyle w:val="ListParagraph"/>
        <w:numPr>
          <w:ilvl w:val="0"/>
          <w:numId w:val="2"/>
        </w:numPr>
        <w:spacing w:after="100"/>
      </w:pPr>
      <w:r>
        <w:rPr>
          <w:rFonts w:ascii="Century Gothic" w:cs="Century Gothic" w:eastAsia="Century Gothic" w:hAnsi="Century Gothic"/>
          <w:b/>
          <w:bCs/>
          <w:sz w:val="22"/>
          <w:szCs w:val="22"/>
        </w:rPr>
        <w:t xml:space="preserve">The Custodian: </w:t>
      </w:r>
      <w:r>
        <w:rPr>
          <w:rFonts w:ascii="Century Gothic" w:cs="Century Gothic" w:eastAsia="Century Gothic" w:hAnsi="Century Gothic"/>
          <w:sz w:val="22"/>
          <w:szCs w:val="22"/>
        </w:rPr>
        <w:t xml:space="preserve">Holds the actual assets within the SMA. Provides independent custody, reporting, and reconciliation.</w:t>
      </w:r>
    </w:p>
    <w:p>
      <w:pPr>
        <w:spacing w:after="160" w:before="0"/>
      </w:pPr>
      <w:r>
        <w:rPr>
          <w:rFonts w:ascii="Century Gothic" w:cs="Century Gothic" w:eastAsia="Century Gothic" w:hAnsi="Century Gothic"/>
          <w:sz w:val="22"/>
          <w:szCs w:val="22"/>
        </w:rPr>
        <w:t xml:space="preserve">This structure achieves something important: the client benefits from professional investment management and tax-deferred growth, while the insurance carrier retains legal ownership of the policy assets—a requirement for maintaining the annuity’s favorable tax treatment.</w:t>
      </w:r>
    </w:p>
    <w:p>
      <w:pPr>
        <w:pStyle w:val="Heading2"/>
      </w:pPr>
      <w:r>
        <w:rPr>
          <w:rFonts w:ascii="Century Gothic" w:cs="Century Gothic" w:eastAsia="Century Gothic" w:hAnsi="Century Gothic"/>
          <w:sz w:val="22"/>
          <w:szCs w:val="22"/>
        </w:rPr>
        <w:t xml:space="preserve">The Tax Advantages</w:t>
      </w:r>
    </w:p>
    <w:p>
      <w:pPr>
        <w:spacing w:after="160" w:before="0"/>
      </w:pPr>
      <w:r>
        <w:rPr>
          <w:rFonts w:ascii="Century Gothic" w:cs="Century Gothic" w:eastAsia="Century Gothic" w:hAnsi="Century Gothic"/>
          <w:sz w:val="22"/>
          <w:szCs w:val="22"/>
        </w:rPr>
        <w:t xml:space="preserve">The PPVA derives its power from several provisions of the Internal Revenue Code. Understanding these is essential for explaining the value proposition to clients and partners.</w:t>
      </w:r>
    </w:p>
    <w:p>
      <w:pPr>
        <w:pStyle w:val="Heading3"/>
      </w:pPr>
      <w:r>
        <w:rPr>
          <w:rFonts w:ascii="Century Gothic" w:cs="Century Gothic" w:eastAsia="Century Gothic" w:hAnsi="Century Gothic"/>
          <w:sz w:val="22"/>
          <w:szCs w:val="22"/>
        </w:rPr>
        <w:t xml:space="preserve">Tax-Deferred Growth (IRC Section 72)</w:t>
      </w:r>
    </w:p>
    <w:p>
      <w:pPr>
        <w:spacing w:after="160" w:before="0"/>
      </w:pPr>
      <w:r>
        <w:rPr>
          <w:rFonts w:ascii="Century Gothic" w:cs="Century Gothic" w:eastAsia="Century Gothic" w:hAnsi="Century Gothic"/>
          <w:sz w:val="22"/>
          <w:szCs w:val="22"/>
        </w:rPr>
        <w:t xml:space="preserve">All investment gains within the annuity compound without current income tax liability. There is no annual recognition of capital gains, dividends, or interest income. Tax is deferred until distributions are taken from the contract. For clients with substantial investable assets generating significant annual taxable income, this deferral can produce materially different outcomes over 10, 20, or 30-year horizons.</w:t>
      </w:r>
    </w:p>
    <w:p>
      <w:pPr>
        <w:pStyle w:val="Heading3"/>
      </w:pPr>
      <w:r>
        <w:rPr>
          <w:rFonts w:ascii="Century Gothic" w:cs="Century Gothic" w:eastAsia="Century Gothic" w:hAnsi="Century Gothic"/>
          <w:sz w:val="22"/>
          <w:szCs w:val="22"/>
        </w:rPr>
        <w:t xml:space="preserve">Diversification Requirements (IRC Section 817(h))</w:t>
      </w:r>
    </w:p>
    <w:p>
      <w:pPr>
        <w:spacing w:after="160" w:before="0"/>
      </w:pPr>
      <w:r>
        <w:rPr>
          <w:rFonts w:ascii="Century Gothic" w:cs="Century Gothic" w:eastAsia="Century Gothic" w:hAnsi="Century Gothic"/>
          <w:sz w:val="22"/>
          <w:szCs w:val="22"/>
        </w:rPr>
        <w:t xml:space="preserve">To maintain its tax-advantaged status, the investments within the annuity must satisfy diversification requirements under IRC Section 817(h) and the related Treasury Regulations. These rules require that the segregated asset account maintain a minimum level of investment diversification across asset classes. The RIA managing the SMA is responsible for ensuring ongoing compliance with these requirements.</w:t>
      </w:r>
    </w:p>
    <w:p>
      <w:pPr>
        <w:pStyle w:val="Heading3"/>
      </w:pPr>
      <w:r>
        <w:rPr>
          <w:rFonts w:ascii="Century Gothic" w:cs="Century Gothic" w:eastAsia="Century Gothic" w:hAnsi="Century Gothic"/>
          <w:sz w:val="22"/>
          <w:szCs w:val="22"/>
        </w:rPr>
        <w:t xml:space="preserve">Investor Control Doctrine</w:t>
      </w:r>
    </w:p>
    <w:p>
      <w:pPr>
        <w:spacing w:after="160" w:before="0"/>
      </w:pPr>
      <w:r>
        <w:rPr>
          <w:rFonts w:ascii="Century Gothic" w:cs="Century Gothic" w:eastAsia="Century Gothic" w:hAnsi="Century Gothic"/>
          <w:sz w:val="22"/>
          <w:szCs w:val="22"/>
        </w:rPr>
        <w:t xml:space="preserve">This is the most critical compliance principle in the PPVA world. The IRS has established, through revenue rulings and case law, that the policyholder must not have direct control over the investment decisions within the annuity. If the policyholder is deemed to have “incidents of ownership” over the underlying investments, the annuity loses its tax-deferred treatment and all gains become currently taxable.</w:t>
      </w:r>
    </w:p>
    <w:p>
      <w:pPr>
        <w:spacing w:after="160" w:before="0"/>
      </w:pPr>
      <w:r>
        <w:rPr>
          <w:rFonts w:ascii="Century Gothic" w:cs="Century Gothic" w:eastAsia="Century Gothic" w:hAnsi="Century Gothic"/>
          <w:b/>
          <w:bCs/>
          <w:sz w:val="22"/>
          <w:szCs w:val="22"/>
        </w:rPr>
        <w:t xml:space="preserve">What this means in practice: </w:t>
      </w:r>
      <w:r>
        <w:rPr>
          <w:rFonts w:ascii="Century Gothic" w:cs="Century Gothic" w:eastAsia="Century Gothic" w:hAnsi="Century Gothic"/>
          <w:sz w:val="22"/>
          <w:szCs w:val="22"/>
        </w:rPr>
        <w:t xml:space="preserve">the client does not choose specific investments, direct trades, or instruct the money manager. The carrier owns the policy assets and grants discretionary management authority to the RIA. The client selects the advisor before the policy is placed, but once the structure is in force, investment decisions are made by the RIA under fiduciary standards.</w:t>
      </w:r>
    </w:p>
    <w:p>
      <w:pPr>
        <w:pStyle w:val="Heading3"/>
      </w:pPr>
      <w:r>
        <w:rPr>
          <w:rFonts w:ascii="Century Gothic" w:cs="Century Gothic" w:eastAsia="Century Gothic" w:hAnsi="Century Gothic"/>
          <w:sz w:val="22"/>
          <w:szCs w:val="22"/>
        </w:rPr>
        <w:t xml:space="preserve">Estate Planning Benefits</w:t>
      </w:r>
    </w:p>
    <w:p>
      <w:pPr>
        <w:spacing w:after="160" w:before="0"/>
      </w:pPr>
      <w:r>
        <w:rPr>
          <w:rFonts w:ascii="Century Gothic" w:cs="Century Gothic" w:eastAsia="Century Gothic" w:hAnsi="Century Gothic"/>
          <w:sz w:val="22"/>
          <w:szCs w:val="22"/>
        </w:rPr>
        <w:t xml:space="preserve">The annuity structure provides several estate planning advantages. The death benefit passes to named beneficiaries outside of probate. Depending on the ownership structure (trust, LLC, or individual), the annuity can be used to facilitate wealth transfer with reduced estate tax friction. When combined with proper entity planning, the PPVA becomes a powerful tool for multi-generational wealth preservation.</w:t>
      </w:r>
    </w:p>
    <w:p>
      <w:pPr>
        <w:pStyle w:val="Heading2"/>
      </w:pPr>
      <w:r>
        <w:rPr>
          <w:rFonts w:ascii="Century Gothic" w:cs="Century Gothic" w:eastAsia="Century Gothic" w:hAnsi="Century Gothic"/>
          <w:sz w:val="22"/>
          <w:szCs w:val="22"/>
        </w:rPr>
        <w:t xml:space="preserve">Who Is This For?</w:t>
      </w:r>
    </w:p>
    <w:p>
      <w:pPr>
        <w:spacing w:after="160" w:before="0"/>
      </w:pPr>
      <w:r>
        <w:rPr>
          <w:rFonts w:ascii="Century Gothic" w:cs="Century Gothic" w:eastAsia="Century Gothic" w:hAnsi="Century Gothic"/>
          <w:sz w:val="22"/>
          <w:szCs w:val="22"/>
        </w:rPr>
        <w:t xml:space="preserve">The PPVA is not for everyone. It is designed for a specific client profile:</w:t>
      </w:r>
    </w:p>
    <w:p>
      <w:pPr>
        <w:pStyle w:val="ListParagraph"/>
        <w:numPr>
          <w:ilvl w:val="0"/>
          <w:numId w:val="3"/>
        </w:numPr>
        <w:spacing w:after="100"/>
      </w:pPr>
      <w:r>
        <w:rPr>
          <w:rFonts w:ascii="Century Gothic" w:cs="Century Gothic" w:eastAsia="Century Gothic" w:hAnsi="Century Gothic"/>
          <w:b/>
          <w:bCs/>
          <w:sz w:val="22"/>
          <w:szCs w:val="22"/>
        </w:rPr>
        <w:t xml:space="preserve">Minimum premium: </w:t>
      </w:r>
      <w:r>
        <w:rPr>
          <w:rFonts w:ascii="Century Gothic" w:cs="Century Gothic" w:eastAsia="Century Gothic" w:hAnsi="Century Gothic"/>
          <w:sz w:val="22"/>
          <w:szCs w:val="22"/>
        </w:rPr>
        <w:t xml:space="preserve">$1,000,000. Cases can range from $1M to $50M+ depending on the client’s situation and goals.</w:t>
      </w:r>
    </w:p>
    <w:p>
      <w:pPr>
        <w:pStyle w:val="ListParagraph"/>
        <w:numPr>
          <w:ilvl w:val="0"/>
          <w:numId w:val="3"/>
        </w:numPr>
        <w:spacing w:after="100"/>
      </w:pPr>
      <w:r>
        <w:rPr>
          <w:rFonts w:ascii="Century Gothic" w:cs="Century Gothic" w:eastAsia="Century Gothic" w:hAnsi="Century Gothic"/>
          <w:b/>
          <w:bCs/>
          <w:sz w:val="22"/>
          <w:szCs w:val="22"/>
        </w:rPr>
        <w:t xml:space="preserve">Qualified purchasers or accredited investors: </w:t>
      </w:r>
      <w:r>
        <w:rPr>
          <w:rFonts w:ascii="Century Gothic" w:cs="Century Gothic" w:eastAsia="Century Gothic" w:hAnsi="Century Gothic"/>
          <w:sz w:val="22"/>
          <w:szCs w:val="22"/>
        </w:rPr>
        <w:t xml:space="preserve">Must meet SEC thresholds ($5M+ in investments for qualified purchaser status, or $1M+ net worth / $200K+ income for accredited investor status).</w:t>
      </w:r>
    </w:p>
    <w:p>
      <w:pPr>
        <w:pStyle w:val="ListParagraph"/>
        <w:numPr>
          <w:ilvl w:val="0"/>
          <w:numId w:val="3"/>
        </w:numPr>
        <w:spacing w:after="100"/>
      </w:pPr>
      <w:r>
        <w:rPr>
          <w:rFonts w:ascii="Century Gothic" w:cs="Century Gothic" w:eastAsia="Century Gothic" w:hAnsi="Century Gothic"/>
          <w:b/>
          <w:bCs/>
          <w:sz w:val="22"/>
          <w:szCs w:val="22"/>
        </w:rPr>
        <w:t xml:space="preserve">Clients with taxable investment portfolios: </w:t>
      </w:r>
      <w:r>
        <w:rPr>
          <w:rFonts w:ascii="Century Gothic" w:cs="Century Gothic" w:eastAsia="Century Gothic" w:hAnsi="Century Gothic"/>
          <w:sz w:val="22"/>
          <w:szCs w:val="22"/>
        </w:rPr>
        <w:t xml:space="preserve">The value proposition is strongest for clients currently generating significant taxable income from their investment portfolio—capital gains, dividends, interest income.</w:t>
      </w:r>
    </w:p>
    <w:p>
      <w:pPr>
        <w:pStyle w:val="ListParagraph"/>
        <w:numPr>
          <w:ilvl w:val="0"/>
          <w:numId w:val="3"/>
        </w:numPr>
        <w:spacing w:after="100"/>
      </w:pPr>
      <w:r>
        <w:rPr>
          <w:rFonts w:ascii="Century Gothic" w:cs="Century Gothic" w:eastAsia="Century Gothic" w:hAnsi="Century Gothic"/>
          <w:b/>
          <w:bCs/>
          <w:sz w:val="22"/>
          <w:szCs w:val="22"/>
        </w:rPr>
        <w:t xml:space="preserve">Long-term orientation: </w:t>
      </w:r>
      <w:r>
        <w:rPr>
          <w:rFonts w:ascii="Century Gothic" w:cs="Century Gothic" w:eastAsia="Century Gothic" w:hAnsi="Century Gothic"/>
          <w:sz w:val="22"/>
          <w:szCs w:val="22"/>
        </w:rPr>
        <w:t xml:space="preserve">The deferral benefit compounds over time. Clients with a 10+ year horizon see the greatest impact.</w:t>
      </w:r>
    </w:p>
    <w:p>
      <w:pPr>
        <w:pStyle w:val="ListParagraph"/>
        <w:numPr>
          <w:ilvl w:val="0"/>
          <w:numId w:val="3"/>
        </w:numPr>
        <w:spacing w:after="100"/>
      </w:pPr>
      <w:r>
        <w:rPr>
          <w:rFonts w:ascii="Century Gothic" w:cs="Century Gothic" w:eastAsia="Century Gothic" w:hAnsi="Century Gothic"/>
          <w:b/>
          <w:bCs/>
          <w:sz w:val="22"/>
          <w:szCs w:val="22"/>
        </w:rPr>
        <w:t xml:space="preserve">Entity owners: </w:t>
      </w:r>
      <w:r>
        <w:rPr>
          <w:rFonts w:ascii="Century Gothic" w:cs="Century Gothic" w:eastAsia="Century Gothic" w:hAnsi="Century Gothic"/>
          <w:sz w:val="22"/>
          <w:szCs w:val="22"/>
        </w:rPr>
        <w:t xml:space="preserve">Business owners, trust beneficiaries, and LLC members often find the PPVA fits naturally into their existing planning structure.</w:t>
      </w:r>
    </w:p>
    <w:p>
      <w:pPr>
        <w:pStyle w:val="ListParagraph"/>
        <w:numPr>
          <w:ilvl w:val="0"/>
          <w:numId w:val="3"/>
        </w:numPr>
        <w:spacing w:after="100"/>
      </w:pPr>
      <w:r>
        <w:rPr>
          <w:rFonts w:ascii="Century Gothic" w:cs="Century Gothic" w:eastAsia="Century Gothic" w:hAnsi="Century Gothic"/>
          <w:b/>
          <w:bCs/>
          <w:sz w:val="22"/>
          <w:szCs w:val="22"/>
        </w:rPr>
        <w:t xml:space="preserve">Cross-border situations: </w:t>
      </w:r>
      <w:r>
        <w:rPr>
          <w:rFonts w:ascii="Century Gothic" w:cs="Century Gothic" w:eastAsia="Century Gothic" w:hAnsi="Century Gothic"/>
          <w:sz w:val="22"/>
          <w:szCs w:val="22"/>
        </w:rPr>
        <w:t xml:space="preserve">Clients with international business interests or residency considerations may benefit from the structure’s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A3" w:sz="6"/>
              <w:left w:val="single" w:color="C5C3C6" w:sz="1"/>
              <w:bottom w:val="single" w:color="C5C3C6" w:sz="1"/>
              <w:right w:val="single" w:color="C5C3C6" w:sz="1"/>
            </w:tcBorders>
            <w:shd w:fill="D0EEF4" w:val="clear"/>
            <w:tcMar>
              <w:top w:type="dxa" w:w="120"/>
              <w:left w:type="dxa" w:w="200"/>
              <w:bottom w:type="dxa" w:w="120"/>
              <w:right w:type="dxa" w:w="200"/>
            </w:tcMar>
          </w:tcPr>
          <w:p>
            <w:r>
              <w:rPr>
                <w:rFonts w:ascii="Century Gothic" w:cs="Century Gothic" w:eastAsia="Century Gothic" w:hAnsi="Century Gothic"/>
                <w:b/>
                <w:bCs/>
                <w:sz w:val="22"/>
                <w:szCs w:val="22"/>
              </w:rPr>
              <w:t xml:space="preserve">PPVA vs. PPLI: What’s the Difference?</w:t>
            </w:r>
          </w:p>
          <w:p>
            <w:pPr>
              <w:spacing w:after="80"/>
            </w:pPr>
            <w:r>
              <w:rPr>
                <w:rFonts w:ascii="Century Gothic" w:cs="Century Gothic" w:eastAsia="Century Gothic" w:hAnsi="Century Gothic"/>
                <w:sz w:val="20"/>
                <w:szCs w:val="20"/>
              </w:rPr>
              <w:t xml:space="preserve">PPVA (Private Placement Variable Annuity): Tax-deferred growth, distributions taxed as ordinary income, no death benefit income tax exclusion, simpler structure, lower minimums.</w:t>
            </w:r>
          </w:p>
          <w:p>
            <w:pPr>
              <w:spacing w:after="80"/>
            </w:pPr>
            <w:r>
              <w:rPr>
                <w:rFonts w:ascii="Century Gothic" w:cs="Century Gothic" w:eastAsia="Century Gothic" w:hAnsi="Century Gothic"/>
                <w:sz w:val="20"/>
                <w:szCs w:val="20"/>
              </w:rPr>
              <w:t xml:space="preserve">PPLI (Private Placement Life Insurance): Tax-deferred growth PLUS tax-free death benefit (IRC 101(a)), requires mortality charges and insurability, typically higher minimums, more complex underwriting.</w:t>
            </w:r>
          </w:p>
          <w:p>
            <w:pPr>
              <w:spacing w:after="80"/>
            </w:pPr>
            <w:r>
              <w:rPr>
                <w:rFonts w:ascii="Century Gothic" w:cs="Century Gothic" w:eastAsia="Century Gothic" w:hAnsi="Century Gothic"/>
                <w:sz w:val="20"/>
                <w:szCs w:val="20"/>
              </w:rPr>
              <w:t xml:space="preserve">Both use the same SMA/money manager architecture. The choice depends on the client’s primary goal: wealth accumulation and income deferral (PPVA) vs. wealth transfer and tax-free death benefit (PPLI). TPBC supports both structures.</w:t>
            </w:r>
          </w:p>
        </w:tc>
      </w:tr>
    </w:tbl>
    <w:p>
      <w:pPr>
        <w:pStyle w:val="Heading2"/>
      </w:pPr>
      <w:r>
        <w:rPr>
          <w:rFonts w:ascii="Century Gothic" w:cs="Century Gothic" w:eastAsia="Century Gothic" w:hAnsi="Century Gothic"/>
          <w:sz w:val="22"/>
          <w:szCs w:val="22"/>
        </w:rPr>
        <w:t xml:space="preserve">Why Now?</w:t>
      </w:r>
    </w:p>
    <w:p>
      <w:pPr>
        <w:spacing w:after="160" w:before="0"/>
      </w:pPr>
      <w:r>
        <w:rPr>
          <w:rFonts w:ascii="Century Gothic" w:cs="Century Gothic" w:eastAsia="Century Gothic" w:hAnsi="Century Gothic"/>
          <w:sz w:val="22"/>
          <w:szCs w:val="22"/>
        </w:rPr>
        <w:t xml:space="preserve">Several market dynamics make the PPVA increasingly relevant:</w:t>
      </w:r>
    </w:p>
    <w:p>
      <w:pPr>
        <w:pStyle w:val="ListParagraph"/>
        <w:numPr>
          <w:ilvl w:val="0"/>
          <w:numId w:val="3"/>
        </w:numPr>
        <w:spacing w:after="100"/>
      </w:pPr>
      <w:r>
        <w:rPr>
          <w:rFonts w:ascii="Century Gothic" w:cs="Century Gothic" w:eastAsia="Century Gothic" w:hAnsi="Century Gothic"/>
          <w:sz w:val="22"/>
          <w:szCs w:val="22"/>
        </w:rPr>
        <w:t xml:space="preserve">Rising tax rates and ongoing policy uncertainty create urgency around tax-deferral strategies for high-net-worth clients.</w:t>
      </w:r>
    </w:p>
    <w:p>
      <w:pPr>
        <w:pStyle w:val="ListParagraph"/>
        <w:numPr>
          <w:ilvl w:val="0"/>
          <w:numId w:val="3"/>
        </w:numPr>
        <w:spacing w:after="100"/>
      </w:pPr>
      <w:r>
        <w:rPr>
          <w:rFonts w:ascii="Century Gothic" w:cs="Century Gothic" w:eastAsia="Century Gothic" w:hAnsi="Century Gothic"/>
          <w:sz w:val="22"/>
          <w:szCs w:val="22"/>
        </w:rPr>
        <w:t xml:space="preserve">Increased awareness of tax drag on traditional investment portfolios—clients are seeing the compounding cost of annual tax liability on their returns.</w:t>
      </w:r>
    </w:p>
    <w:p>
      <w:pPr>
        <w:pStyle w:val="ListParagraph"/>
        <w:numPr>
          <w:ilvl w:val="0"/>
          <w:numId w:val="3"/>
        </w:numPr>
        <w:spacing w:after="100"/>
      </w:pPr>
      <w:r>
        <w:rPr>
          <w:rFonts w:ascii="Century Gothic" w:cs="Century Gothic" w:eastAsia="Century Gothic" w:hAnsi="Century Gothic"/>
          <w:sz w:val="22"/>
          <w:szCs w:val="22"/>
        </w:rPr>
        <w:t xml:space="preserve">Growing sophistication of the RIA and money manager community, making it easier to find qualified partners who understand SMA management within insurance wrappers.</w:t>
      </w:r>
    </w:p>
    <w:p>
      <w:pPr>
        <w:pStyle w:val="ListParagraph"/>
        <w:numPr>
          <w:ilvl w:val="0"/>
          <w:numId w:val="3"/>
        </w:numPr>
        <w:spacing w:after="100"/>
      </w:pPr>
      <w:r>
        <w:rPr>
          <w:rFonts w:ascii="Century Gothic" w:cs="Century Gothic" w:eastAsia="Century Gothic" w:hAnsi="Century Gothic"/>
          <w:sz w:val="22"/>
          <w:szCs w:val="22"/>
        </w:rPr>
        <w:t xml:space="preserve">Improved carrier platforms and technology that have reduced the operational friction of placing and managing PPVA cases.</w:t>
      </w:r>
    </w:p>
    <w:p>
      <w:pPr>
        <w:pStyle w:val="ListParagraph"/>
        <w:numPr>
          <w:ilvl w:val="0"/>
          <w:numId w:val="3"/>
        </w:numPr>
        <w:spacing w:after="100"/>
      </w:pPr>
      <w:r>
        <w:rPr>
          <w:rFonts w:ascii="Century Gothic" w:cs="Century Gothic" w:eastAsia="Century Gothic" w:hAnsi="Century Gothic"/>
          <w:sz w:val="22"/>
          <w:szCs w:val="22"/>
        </w:rPr>
        <w:t xml:space="preserve">Expanding cross-border wealth management needs as clients operate across jurisdictions.</w:t>
      </w:r>
    </w:p>
    <w:p>
      <w:r>
        <w:br w:type="page"/>
      </w:r>
    </w:p>
    <w:p>
      <w:pPr>
        <w:pStyle w:val="Heading1"/>
      </w:pPr>
      <w:r>
        <w:rPr>
          <w:rFonts w:ascii="Century Gothic" w:cs="Century Gothic" w:eastAsia="Century Gothic" w:hAnsi="Century Gothic"/>
          <w:sz w:val="22"/>
          <w:szCs w:val="22"/>
        </w:rPr>
        <w:t xml:space="preserve">Part 2: The TPBC Model</w:t>
      </w:r>
    </w:p>
    <w:p>
      <w:pPr>
        <w:pStyle w:val="Heading2"/>
      </w:pPr>
      <w:r>
        <w:rPr>
          <w:rFonts w:ascii="Century Gothic" w:cs="Century Gothic" w:eastAsia="Century Gothic" w:hAnsi="Century Gothic"/>
          <w:sz w:val="22"/>
          <w:szCs w:val="22"/>
        </w:rPr>
        <w:t xml:space="preserve">How TPBC Does It Differently</w:t>
      </w:r>
    </w:p>
    <w:p>
      <w:pPr>
        <w:spacing w:after="160" w:before="0"/>
      </w:pPr>
      <w:r>
        <w:rPr>
          <w:rFonts w:ascii="Century Gothic" w:cs="Century Gothic" w:eastAsia="Century Gothic" w:hAnsi="Century Gothic"/>
          <w:sz w:val="22"/>
          <w:szCs w:val="22"/>
        </w:rPr>
        <w:t xml:space="preserve">Most firms involved in private placement operate in one lane. A carrier issues the product. A broker-dealer places the case. An RIA manages the money. A money manager provides the strategy. Each party does their piece and hopes the others do theirs.</w:t>
      </w:r>
    </w:p>
    <w:p>
      <w:pPr>
        <w:spacing w:after="160" w:before="0"/>
      </w:pPr>
      <w:r>
        <w:rPr>
          <w:rFonts w:ascii="Century Gothic" w:cs="Century Gothic" w:eastAsia="Century Gothic" w:hAnsi="Century Gothic"/>
          <w:b/>
          <w:bCs/>
          <w:sz w:val="22"/>
          <w:szCs w:val="22"/>
        </w:rPr>
        <w:t xml:space="preserve">TPBC operates as the conductor.</w:t>
      </w:r>
      <w:r>
        <w:rPr>
          <w:rFonts w:ascii="Century Gothic" w:cs="Century Gothic" w:eastAsia="Century Gothic" w:hAnsi="Century Gothic"/>
          <w:sz w:val="22"/>
          <w:szCs w:val="22"/>
        </w:rPr>
        <w:t xml:space="preserve"> We don’t replace any of those roles—we orchestrate them. TPBC sits at the center of the deal and coordinates every party, every handoff, every document, and every deadline from initial client conversation through ongoing portfolio management. This is the fundamental difference: we own the process, not just a piece of it.</w:t>
      </w:r>
    </w:p>
    <w:p>
      <w:pPr>
        <w:spacing w:after="160" w:before="0"/>
      </w:pPr>
      <w:r>
        <w:rPr>
          <w:rFonts w:ascii="Century Gothic" w:cs="Century Gothic" w:eastAsia="Century Gothic" w:hAnsi="Century Gothic"/>
          <w:sz w:val="22"/>
          <w:szCs w:val="22"/>
        </w:rPr>
        <w:t xml:space="preserve">This conductor model exists because private placement deals are inherently multi-party, multi-phase transactions with significant regulatory requirements. Without central coordination, deals stall, compliance gaps appear, and the client experience suffers. TPBC eliminates that by maintaining visibility and accountability across the entire lifecycle.</w:t>
      </w:r>
    </w:p>
    <w:p>
      <w:pPr>
        <w:pStyle w:val="Heading2"/>
      </w:pPr>
      <w:r>
        <w:rPr>
          <w:rFonts w:ascii="Century Gothic" w:cs="Century Gothic" w:eastAsia="Century Gothic" w:hAnsi="Century Gothic"/>
          <w:sz w:val="22"/>
          <w:szCs w:val="22"/>
        </w:rPr>
        <w:t xml:space="preserve">The Partner Ecosystem</w:t>
      </w:r>
    </w:p>
    <w:p>
      <w:pPr>
        <w:spacing w:after="160" w:before="0"/>
      </w:pPr>
      <w:r>
        <w:rPr>
          <w:rFonts w:ascii="Century Gothic" w:cs="Century Gothic" w:eastAsia="Century Gothic" w:hAnsi="Century Gothic"/>
          <w:sz w:val="22"/>
          <w:szCs w:val="22"/>
        </w:rPr>
        <w:t xml:space="preserve">Every PPVA deal involves a specific set of partners, each with a defined role. TPBC has built relationships across all partner categories and maintains a vetted network of proven counterparties.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Partner Type</w:t>
            </w:r>
          </w:p>
        </w:tc>
        <w:tc>
          <w:tcPr>
            <w:tcW w:type="dxa" w:w="368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Role in the Deal</w:t>
            </w:r>
          </w:p>
        </w:tc>
        <w:tc>
          <w:tcPr>
            <w:tcW w:type="dxa" w:w="368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What TPBC Provides</w:t>
            </w:r>
          </w:p>
        </w:tc>
      </w:tr>
      <w:tr>
        <w:tc>
          <w:tcPr>
            <w:tcW w:type="dxa" w:w="20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Insurance Carrier</w:t>
            </w:r>
          </w:p>
        </w:tc>
        <w:tc>
          <w:tcPr>
            <w:tcW w:type="dxa" w:w="368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Issues the annuity policy, administers the SMA, handles compliance monitoring, provides the tax wrapper</w:t>
            </w:r>
          </w:p>
        </w:tc>
        <w:tc>
          <w:tcPr>
            <w:tcW w:type="dxa" w:w="368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Carrier selection, application coordination, ongoing relationship management</w:t>
            </w:r>
          </w:p>
        </w:tc>
      </w:tr>
      <w:tr>
        <w:tc>
          <w:tcPr>
            <w:tcW w:type="dxa" w:w="20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Broker-Dealer</w:t>
            </w:r>
          </w:p>
        </w:tc>
        <w:tc>
          <w:tcPr>
            <w:tcW w:type="dxa" w:w="368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Places the case, executes the application, handles suitability review, earns placement commission</w:t>
            </w:r>
          </w:p>
        </w:tc>
        <w:tc>
          <w:tcPr>
            <w:tcW w:type="dxa" w:w="368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Case preparation, document assembly, compliance coordination, commission processing</w:t>
            </w:r>
          </w:p>
        </w:tc>
      </w:tr>
      <w:tr>
        <w:tc>
          <w:tcPr>
            <w:tcW w:type="dxa" w:w="20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RIA / Investment Advisor</w:t>
            </w:r>
          </w:p>
        </w:tc>
        <w:tc>
          <w:tcPr>
            <w:tcW w:type="dxa" w:w="368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Receives discretionary authority over the SMA, manages portfolio allocation, provides fiduciary oversight</w:t>
            </w:r>
          </w:p>
        </w:tc>
        <w:tc>
          <w:tcPr>
            <w:tcW w:type="dxa" w:w="368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Advisor onboarding, SMA setup coordination, ongoing operational support</w:t>
            </w:r>
          </w:p>
        </w:tc>
      </w:tr>
      <w:tr>
        <w:tc>
          <w:tcPr>
            <w:tcW w:type="dxa" w:w="20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Money Manager</w:t>
            </w:r>
          </w:p>
        </w:tc>
        <w:tc>
          <w:tcPr>
            <w:tcW w:type="dxa" w:w="368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Provides investment strategies deployed within the SMA (FIAs, mutual funds, alternatives, etc.)</w:t>
            </w:r>
          </w:p>
        </w:tc>
        <w:tc>
          <w:tcPr>
            <w:tcW w:type="dxa" w:w="368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Manager introductions, allocation framework design, custodian coordination</w:t>
            </w:r>
          </w:p>
        </w:tc>
      </w:tr>
      <w:tr>
        <w:tc>
          <w:tcPr>
            <w:tcW w:type="dxa" w:w="20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Custodian</w:t>
            </w:r>
          </w:p>
        </w:tc>
        <w:tc>
          <w:tcPr>
            <w:tcW w:type="dxa" w:w="368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Holds assets, provides independent custody, reporting, and reconciliation</w:t>
            </w:r>
          </w:p>
        </w:tc>
        <w:tc>
          <w:tcPr>
            <w:tcW w:type="dxa" w:w="368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Custodian selection support, feed integration, account opening coordination</w:t>
            </w:r>
          </w:p>
        </w:tc>
      </w:tr>
      <w:tr>
        <w:tc>
          <w:tcPr>
            <w:tcW w:type="dxa" w:w="20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Tax / Legal Advisors</w:t>
            </w:r>
          </w:p>
        </w:tc>
        <w:tc>
          <w:tcPr>
            <w:tcW w:type="dxa" w:w="368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Entity structuring, tax planning, compliance review, cross-border considerations</w:t>
            </w:r>
          </w:p>
        </w:tc>
        <w:tc>
          <w:tcPr>
            <w:tcW w:type="dxa" w:w="368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Referral coordination, structure consultation, document review facilitation</w:t>
            </w:r>
          </w:p>
        </w:tc>
      </w:tr>
    </w:tbl>
    <w:p>
      <w:pPr>
        <w:spacing w:after="160" w:before="0"/>
      </w:pPr>
      <w:r>
        <w:rPr>
          <w:rFonts w:ascii="Century Gothic" w:cs="Century Gothic" w:eastAsia="Century Gothic" w:hAnsi="Century Gothic"/>
          <w:sz w:val="22"/>
          <w:szCs w:val="22"/>
        </w:rPr>
        <w:t xml:space="preserve"/>
      </w:r>
    </w:p>
    <w:p>
      <w:pPr>
        <w:pStyle w:val="Heading2"/>
      </w:pPr>
      <w:r>
        <w:rPr>
          <w:rFonts w:ascii="Century Gothic" w:cs="Century Gothic" w:eastAsia="Century Gothic" w:hAnsi="Century Gothic"/>
          <w:sz w:val="22"/>
          <w:szCs w:val="22"/>
        </w:rPr>
        <w:t xml:space="preserve">The Four-Phase Deal Lifecycle</w:t>
      </w:r>
    </w:p>
    <w:p>
      <w:pPr>
        <w:spacing w:after="160" w:before="0"/>
      </w:pPr>
      <w:r>
        <w:rPr>
          <w:rFonts w:ascii="Century Gothic" w:cs="Century Gothic" w:eastAsia="Century Gothic" w:hAnsi="Century Gothic"/>
          <w:sz w:val="22"/>
          <w:szCs w:val="22"/>
        </w:rPr>
        <w:t xml:space="preserve">Every PPVA case follows a four-phase lifecycle. This structure ensures regulatory compliance, clean role separation, and operational clarity. A detailed breakdown of each phase is provided in Part 3 of this playbook (forthcoming). The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Phase</w:t>
            </w:r>
          </w:p>
        </w:tc>
        <w:tc>
          <w:tcPr>
            <w:tcW w:type="dxa" w:w="220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Name</w:t>
            </w:r>
          </w:p>
        </w:tc>
        <w:tc>
          <w:tcPr>
            <w:tcW w:type="dxa" w:w="280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What Happens</w:t>
            </w:r>
          </w:p>
        </w:tc>
        <w:tc>
          <w:tcPr>
            <w:tcW w:type="dxa" w:w="256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Primary Actor</w:t>
            </w:r>
          </w:p>
        </w:tc>
      </w:tr>
      <w:tr>
        <w:tc>
          <w:tcPr>
            <w:tcW w:type="dxa" w:w="18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Phase 0</w:t>
            </w:r>
          </w:p>
        </w:tc>
        <w:tc>
          <w:tcPr>
            <w:tcW w:type="dxa" w:w="22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Pre-Application Coordination</w:t>
            </w:r>
          </w:p>
        </w:tc>
        <w:tc>
          <w:tcPr>
            <w:tcW w:type="dxa" w:w="28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Gather documents, align all parties, confirm SMA design, establish compliance framework</w:t>
            </w:r>
          </w:p>
        </w:tc>
        <w:tc>
          <w:tcPr>
            <w:tcW w:type="dxa" w:w="256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TPBC (Conductor)</w:t>
            </w:r>
          </w:p>
        </w:tc>
      </w:tr>
      <w:tr>
        <w:tc>
          <w:tcPr>
            <w:tcW w:type="dxa" w:w="18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Phase 1</w:t>
            </w:r>
          </w:p>
        </w:tc>
        <w:tc>
          <w:tcPr>
            <w:tcW w:type="dxa" w:w="22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Broker Role (Case Placement)</w:t>
            </w:r>
          </w:p>
        </w:tc>
        <w:tc>
          <w:tcPr>
            <w:tcW w:type="dxa" w:w="28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Application execution, underwriting, premium funding, commission payment. Broker role ends completely.</w:t>
            </w:r>
          </w:p>
        </w:tc>
        <w:tc>
          <w:tcPr>
            <w:tcW w:type="dxa" w:w="256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Broker-Dealer</w:t>
            </w:r>
          </w:p>
        </w:tc>
      </w:tr>
      <w:tr>
        <w:tc>
          <w:tcPr>
            <w:tcW w:type="dxa" w:w="18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Transition</w:t>
            </w:r>
          </w:p>
        </w:tc>
        <w:tc>
          <w:tcPr>
            <w:tcW w:type="dxa" w:w="22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SMA Infrastructure (~3 days)</w:t>
            </w:r>
          </w:p>
        </w:tc>
        <w:tc>
          <w:tcPr>
            <w:tcW w:type="dxa" w:w="28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Carrier builds SMA, onboards custodian, configures access. No broker or RIA activity.</w:t>
            </w:r>
          </w:p>
        </w:tc>
        <w:tc>
          <w:tcPr>
            <w:tcW w:type="dxa" w:w="256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Insurance Carrier</w:t>
            </w:r>
          </w:p>
        </w:tc>
      </w:tr>
      <w:tr>
        <w:tc>
          <w:tcPr>
            <w:tcW w:type="dxa" w:w="18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Phase 2</w:t>
            </w:r>
          </w:p>
        </w:tc>
        <w:tc>
          <w:tcPr>
            <w:tcW w:type="dxa" w:w="22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RIA Role (Ongoing Management)</w:t>
            </w:r>
          </w:p>
        </w:tc>
        <w:tc>
          <w:tcPr>
            <w:tcW w:type="dxa" w:w="280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Discretionary portfolio management, compliance monitoring, rebalancing, client service.</w:t>
            </w:r>
          </w:p>
        </w:tc>
        <w:tc>
          <w:tcPr>
            <w:tcW w:type="dxa" w:w="256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RIA / Investment Advisor</w:t>
            </w:r>
          </w:p>
        </w:tc>
      </w:tr>
    </w:tbl>
    <w:p>
      <w:pPr>
        <w:spacing w:after="160" w:before="0"/>
      </w:pPr>
      <w:r>
        <w:rPr>
          <w:rFonts w:ascii="Century Gothic" w:cs="Century Gothic" w:eastAsia="Century Gothic" w:hAnsi="Century Gothic"/>
          <w:sz w:val="22"/>
          <w:szCs w:val="22"/>
        </w:rPr>
        <w:t xml:space="preserve"/>
      </w:r>
    </w:p>
    <w:p>
      <w:pPr>
        <w:spacing w:after="160" w:before="0"/>
      </w:pPr>
      <w:r>
        <w:rPr>
          <w:rFonts w:ascii="Century Gothic" w:cs="Century Gothic" w:eastAsia="Century Gothic" w:hAnsi="Century Gothic"/>
          <w:b/>
          <w:bCs/>
          <w:sz w:val="22"/>
          <w:szCs w:val="22"/>
        </w:rPr>
        <w:t xml:space="preserve">The critical principle: </w:t>
      </w:r>
      <w:r>
        <w:rPr>
          <w:rFonts w:ascii="Century Gothic" w:cs="Century Gothic" w:eastAsia="Century Gothic" w:hAnsi="Century Gothic"/>
          <w:sz w:val="22"/>
          <w:szCs w:val="22"/>
        </w:rPr>
        <w:t xml:space="preserve">the broker-dealer role and the RIA role are strictly sequential, never concurrent. The broker places the case and exits. A transition window ensures complete separation. Then the RIA begins discretionary management. This temporal separation is essential for regulatory compliance and compensation clarity.</w:t>
      </w:r>
    </w:p>
    <w:p>
      <w:pPr>
        <w:pStyle w:val="Heading2"/>
      </w:pPr>
      <w:r>
        <w:rPr>
          <w:rFonts w:ascii="Century Gothic" w:cs="Century Gothic" w:eastAsia="Century Gothic" w:hAnsi="Century Gothic"/>
          <w:sz w:val="22"/>
          <w:szCs w:val="22"/>
        </w:rPr>
        <w:t xml:space="preserve">The SMA Architecture</w:t>
      </w:r>
    </w:p>
    <w:p>
      <w:pPr>
        <w:spacing w:after="160" w:before="0"/>
      </w:pPr>
      <w:r>
        <w:rPr>
          <w:rFonts w:ascii="Century Gothic" w:cs="Century Gothic" w:eastAsia="Century Gothic" w:hAnsi="Century Gothic"/>
          <w:sz w:val="22"/>
          <w:szCs w:val="22"/>
        </w:rPr>
        <w:t xml:space="preserve">The Separately Managed Account is the investment engine of the PPVA. It is created under the carrier’s entity structure and managed by the RIA under a discretionary management agreement. A typical SMA allocation might include:</w:t>
      </w:r>
    </w:p>
    <w:p>
      <w:pPr>
        <w:pStyle w:val="ListParagraph"/>
        <w:numPr>
          <w:ilvl w:val="0"/>
          <w:numId w:val="3"/>
        </w:numPr>
        <w:spacing w:after="100"/>
      </w:pPr>
      <w:r>
        <w:rPr>
          <w:rFonts w:ascii="Century Gothic" w:cs="Century Gothic" w:eastAsia="Century Gothic" w:hAnsi="Century Gothic"/>
          <w:sz w:val="22"/>
          <w:szCs w:val="22"/>
        </w:rPr>
        <w:t xml:space="preserve">Fixed Indexed Annuities (FIAs) from one or more issuers</w:t>
      </w:r>
    </w:p>
    <w:p>
      <w:pPr>
        <w:pStyle w:val="ListParagraph"/>
        <w:numPr>
          <w:ilvl w:val="0"/>
          <w:numId w:val="3"/>
        </w:numPr>
        <w:spacing w:after="100"/>
      </w:pPr>
      <w:r>
        <w:rPr>
          <w:rFonts w:ascii="Century Gothic" w:cs="Century Gothic" w:eastAsia="Century Gothic" w:hAnsi="Century Gothic"/>
          <w:sz w:val="22"/>
          <w:szCs w:val="22"/>
        </w:rPr>
        <w:t xml:space="preserve">Mutual funds across equity, fixed income, and balanced strategies</w:t>
      </w:r>
    </w:p>
    <w:p>
      <w:pPr>
        <w:pStyle w:val="ListParagraph"/>
        <w:numPr>
          <w:ilvl w:val="0"/>
          <w:numId w:val="3"/>
        </w:numPr>
        <w:spacing w:after="100"/>
      </w:pPr>
      <w:r>
        <w:rPr>
          <w:rFonts w:ascii="Century Gothic" w:cs="Century Gothic" w:eastAsia="Century Gothic" w:hAnsi="Century Gothic"/>
          <w:sz w:val="22"/>
          <w:szCs w:val="22"/>
        </w:rPr>
        <w:t xml:space="preserve">Alternative investments (real estate funds, credit funds, etc.)</w:t>
      </w:r>
    </w:p>
    <w:p>
      <w:pPr>
        <w:pStyle w:val="ListParagraph"/>
        <w:numPr>
          <w:ilvl w:val="0"/>
          <w:numId w:val="3"/>
        </w:numPr>
        <w:spacing w:after="100"/>
      </w:pPr>
      <w:r>
        <w:rPr>
          <w:rFonts w:ascii="Century Gothic" w:cs="Century Gothic" w:eastAsia="Century Gothic" w:hAnsi="Century Gothic"/>
          <w:sz w:val="22"/>
          <w:szCs w:val="22"/>
        </w:rPr>
        <w:t xml:space="preserve">Cash reserves for carrier administrative fees and liquidity</w:t>
      </w:r>
    </w:p>
    <w:p>
      <w:pPr>
        <w:spacing w:after="160" w:before="0"/>
      </w:pPr>
      <w:r>
        <w:rPr>
          <w:rFonts w:ascii="Century Gothic" w:cs="Century Gothic" w:eastAsia="Century Gothic" w:hAnsi="Century Gothic"/>
          <w:sz w:val="22"/>
          <w:szCs w:val="22"/>
        </w:rPr>
        <w:t xml:space="preserve">The specific allocation is designed during Phase 0 and implemented by the RIA in Phase 2. The money manager provides the underlying investment vehicles, while the RIA maintains discretionary authority over allocation decisions. The custodian holds the assets and provides independent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A3" w:sz="6"/>
              <w:left w:val="single" w:color="C5C3C6" w:sz="1"/>
              <w:bottom w:val="single" w:color="C5C3C6" w:sz="1"/>
              <w:right w:val="single" w:color="C5C3C6" w:sz="1"/>
            </w:tcBorders>
            <w:shd w:fill="D0EEF4" w:val="clear"/>
            <w:tcMar>
              <w:top w:type="dxa" w:w="120"/>
              <w:left w:type="dxa" w:w="200"/>
              <w:bottom w:type="dxa" w:w="120"/>
              <w:right w:type="dxa" w:w="200"/>
            </w:tcMar>
          </w:tcPr>
          <w:p>
            <w:r>
              <w:rPr>
                <w:rFonts w:ascii="Century Gothic" w:cs="Century Gothic" w:eastAsia="Century Gothic" w:hAnsi="Century Gothic"/>
                <w:b/>
                <w:bCs/>
                <w:sz w:val="22"/>
                <w:szCs w:val="22"/>
              </w:rPr>
              <w:t xml:space="preserve">Administrative Access vs. Broker of Record</w:t>
            </w:r>
          </w:p>
          <w:p>
            <w:pPr>
              <w:spacing w:after="80"/>
            </w:pPr>
            <w:r>
              <w:rPr>
                <w:rFonts w:ascii="Century Gothic" w:cs="Century Gothic" w:eastAsia="Century Gothic" w:hAnsi="Century Gothic"/>
                <w:sz w:val="20"/>
                <w:szCs w:val="20"/>
              </w:rPr>
              <w:t xml:space="preserve">TPBC’s model does not use the traditional “broker of record” designation. Instead, the carrier grants administrative access to the RIA through the discretionary management agreement.</w:t>
            </w:r>
          </w:p>
          <w:p>
            <w:pPr>
              <w:spacing w:after="80"/>
            </w:pPr>
            <w:r>
              <w:rPr>
                <w:rFonts w:ascii="Century Gothic" w:cs="Century Gothic" w:eastAsia="Century Gothic" w:hAnsi="Century Gothic"/>
                <w:sz w:val="20"/>
                <w:szCs w:val="20"/>
              </w:rPr>
              <w:t xml:space="preserve">This provides all functional capabilities for portfolio management without creating an ongoing broker relationship. It maintains clean separation between the placement function (broker) and the management function (RIA), avoiding compensation confusion and regulatory overlap.</w:t>
            </w:r>
          </w:p>
        </w:tc>
      </w:tr>
    </w:tbl>
    <w:p>
      <w:pPr>
        <w:pStyle w:val="Heading2"/>
      </w:pPr>
      <w:r>
        <w:rPr>
          <w:rFonts w:ascii="Century Gothic" w:cs="Century Gothic" w:eastAsia="Century Gothic" w:hAnsi="Century Gothic"/>
          <w:sz w:val="22"/>
          <w:szCs w:val="22"/>
        </w:rPr>
        <w:t xml:space="preserve">Compensation Structure</w:t>
      </w:r>
    </w:p>
    <w:p>
      <w:pPr>
        <w:spacing w:after="160" w:before="0"/>
      </w:pPr>
      <w:r>
        <w:rPr>
          <w:rFonts w:ascii="Century Gothic" w:cs="Century Gothic" w:eastAsia="Century Gothic" w:hAnsi="Century Gothic"/>
          <w:sz w:val="22"/>
          <w:szCs w:val="22"/>
        </w:rPr>
        <w:t xml:space="preserve">PPVA deals generate compensation for multiple parties across the deal lifecycle. TPBC’s model provides transparent, competitive economics for every participant:</w:t>
      </w:r>
    </w:p>
    <w:p>
      <w:pPr>
        <w:pStyle w:val="ListParagraph"/>
        <w:numPr>
          <w:ilvl w:val="0"/>
          <w:numId w:val="3"/>
        </w:numPr>
        <w:spacing w:after="100"/>
      </w:pPr>
      <w:r>
        <w:rPr>
          <w:rFonts w:ascii="Century Gothic" w:cs="Century Gothic" w:eastAsia="Century Gothic" w:hAnsi="Century Gothic"/>
          <w:b/>
          <w:bCs/>
          <w:sz w:val="22"/>
          <w:szCs w:val="22"/>
        </w:rPr>
        <w:t xml:space="preserve">Fees: </w:t>
      </w:r>
      <w:r>
        <w:rPr>
          <w:rFonts w:ascii="Century Gothic" w:cs="Century Gothic" w:eastAsia="Century Gothic" w:hAnsi="Century Gothic"/>
          <w:sz w:val="22"/>
          <w:szCs w:val="22"/>
        </w:rPr>
        <w:t xml:space="preserve">Range from 0% to 2% depending on the partner’s role, case size, and agreement structure.</w:t>
      </w:r>
    </w:p>
    <w:p>
      <w:pPr>
        <w:pStyle w:val="ListParagraph"/>
        <w:numPr>
          <w:ilvl w:val="0"/>
          <w:numId w:val="3"/>
        </w:numPr>
        <w:spacing w:after="100"/>
      </w:pPr>
      <w:r>
        <w:rPr>
          <w:rFonts w:ascii="Century Gothic" w:cs="Century Gothic" w:eastAsia="Century Gothic" w:hAnsi="Century Gothic"/>
          <w:b/>
          <w:bCs/>
          <w:sz w:val="22"/>
          <w:szCs w:val="22"/>
        </w:rPr>
        <w:t xml:space="preserve">Ohana Firm Compensation: </w:t>
      </w:r>
      <w:r>
        <w:rPr>
          <w:rFonts w:ascii="Century Gothic" w:cs="Century Gothic" w:eastAsia="Century Gothic" w:hAnsi="Century Gothic"/>
          <w:sz w:val="22"/>
          <w:szCs w:val="22"/>
        </w:rPr>
        <w:t xml:space="preserve">Up to 50% of firm compensation, structured to align incentives across the partner network.</w:t>
      </w:r>
    </w:p>
    <w:p>
      <w:pPr>
        <w:pStyle w:val="ListParagraph"/>
        <w:numPr>
          <w:ilvl w:val="0"/>
          <w:numId w:val="3"/>
        </w:numPr>
        <w:spacing w:after="100"/>
      </w:pPr>
      <w:r>
        <w:rPr>
          <w:rFonts w:ascii="Century Gothic" w:cs="Century Gothic" w:eastAsia="Century Gothic" w:hAnsi="Century Gothic"/>
          <w:b/>
          <w:bCs/>
          <w:sz w:val="22"/>
          <w:szCs w:val="22"/>
        </w:rPr>
        <w:t xml:space="preserve">Modeling tool: </w:t>
      </w:r>
      <w:r>
        <w:rPr>
          <w:rFonts w:ascii="Century Gothic" w:cs="Century Gothic" w:eastAsia="Century Gothic" w:hAnsi="Century Gothic"/>
          <w:sz w:val="22"/>
          <w:szCs w:val="22"/>
        </w:rPr>
        <w:t xml:space="preserve">TPBC provides a proprietary compensation calculator that allows each partner to input their specific arrangement and see projected economics across different case sizes and scenarios. This ensures full transparency and allows partners to evaluate the opportunity on their own terms.</w:t>
      </w:r>
    </w:p>
    <w:p>
      <w:pPr>
        <w:spacing w:after="160" w:before="0"/>
      </w:pPr>
      <w:r>
        <w:rPr>
          <w:rFonts w:ascii="Century Gothic" w:cs="Century Gothic" w:eastAsia="Century Gothic" w:hAnsi="Century Gothic"/>
          <w:sz w:val="22"/>
          <w:szCs w:val="22"/>
        </w:rPr>
        <w:t xml:space="preserve">Note: Exact compensation structures are negotiated per deal and partner relationship. The calculator tool provides the most accurate modeling for individual situations.</w:t>
      </w:r>
    </w:p>
    <w:p>
      <w:pPr>
        <w:pStyle w:val="Heading2"/>
      </w:pPr>
      <w:r>
        <w:rPr>
          <w:rFonts w:ascii="Century Gothic" w:cs="Century Gothic" w:eastAsia="Century Gothic" w:hAnsi="Century Gothic"/>
          <w:sz w:val="22"/>
          <w:szCs w:val="22"/>
        </w:rPr>
        <w:t xml:space="preserve">Why the Conductor Model Works</w:t>
      </w:r>
    </w:p>
    <w:p>
      <w:pPr>
        <w:spacing w:after="160" w:before="0"/>
      </w:pPr>
      <w:r>
        <w:rPr>
          <w:rFonts w:ascii="Century Gothic" w:cs="Century Gothic" w:eastAsia="Century Gothic" w:hAnsi="Century Gothic"/>
          <w:sz w:val="22"/>
          <w:szCs w:val="22"/>
        </w:rPr>
        <w:t xml:space="preserve">Private placement deals fail for predictable reasons: missed documents, unclear handoffs, compliance gaps, and communication breakdowns between parties who don’t regularly work together. The conductor model solves each of these:</w:t>
      </w:r>
    </w:p>
    <w:p>
      <w:pPr>
        <w:pStyle w:val="ListParagraph"/>
        <w:numPr>
          <w:ilvl w:val="0"/>
          <w:numId w:val="3"/>
        </w:numPr>
        <w:spacing w:after="100"/>
      </w:pPr>
      <w:r>
        <w:rPr>
          <w:rFonts w:ascii="Century Gothic" w:cs="Century Gothic" w:eastAsia="Century Gothic" w:hAnsi="Century Gothic"/>
          <w:b/>
          <w:bCs/>
          <w:sz w:val="22"/>
          <w:szCs w:val="22"/>
        </w:rPr>
        <w:t xml:space="preserve">Single point of accountability: </w:t>
      </w:r>
      <w:r>
        <w:rPr>
          <w:rFonts w:ascii="Century Gothic" w:cs="Century Gothic" w:eastAsia="Century Gothic" w:hAnsi="Century Gothic"/>
          <w:sz w:val="22"/>
          <w:szCs w:val="22"/>
        </w:rPr>
        <w:t xml:space="preserve">TPBC tracks every document, deadline, and dependency. Nothing falls through the cracks.</w:t>
      </w:r>
    </w:p>
    <w:p>
      <w:pPr>
        <w:pStyle w:val="ListParagraph"/>
        <w:numPr>
          <w:ilvl w:val="0"/>
          <w:numId w:val="3"/>
        </w:numPr>
        <w:spacing w:after="100"/>
      </w:pPr>
      <w:r>
        <w:rPr>
          <w:rFonts w:ascii="Century Gothic" w:cs="Century Gothic" w:eastAsia="Century Gothic" w:hAnsi="Century Gothic"/>
          <w:b/>
          <w:bCs/>
          <w:sz w:val="22"/>
          <w:szCs w:val="22"/>
        </w:rPr>
        <w:t xml:space="preserve">Pre-built relationships: </w:t>
      </w:r>
      <w:r>
        <w:rPr>
          <w:rFonts w:ascii="Century Gothic" w:cs="Century Gothic" w:eastAsia="Century Gothic" w:hAnsi="Century Gothic"/>
          <w:sz w:val="22"/>
          <w:szCs w:val="22"/>
        </w:rPr>
        <w:t xml:space="preserve">TPBC maintains standing relationships with carriers, broker-dealers, RIAs, and money managers. This eliminates the cold-start problem on every new deal.</w:t>
      </w:r>
    </w:p>
    <w:p>
      <w:pPr>
        <w:pStyle w:val="ListParagraph"/>
        <w:numPr>
          <w:ilvl w:val="0"/>
          <w:numId w:val="3"/>
        </w:numPr>
        <w:spacing w:after="100"/>
      </w:pPr>
      <w:r>
        <w:rPr>
          <w:rFonts w:ascii="Century Gothic" w:cs="Century Gothic" w:eastAsia="Century Gothic" w:hAnsi="Century Gothic"/>
          <w:b/>
          <w:bCs/>
          <w:sz w:val="22"/>
          <w:szCs w:val="22"/>
        </w:rPr>
        <w:t xml:space="preserve">Standardized process: </w:t>
      </w:r>
      <w:r>
        <w:rPr>
          <w:rFonts w:ascii="Century Gothic" w:cs="Century Gothic" w:eastAsia="Century Gothic" w:hAnsi="Century Gothic"/>
          <w:sz w:val="22"/>
          <w:szCs w:val="22"/>
        </w:rPr>
        <w:t xml:space="preserve">The four-phase lifecycle with 15 defined steps means every case follows the same proven sequence, regardless of which specific partners are involved.</w:t>
      </w:r>
    </w:p>
    <w:p>
      <w:pPr>
        <w:pStyle w:val="ListParagraph"/>
        <w:numPr>
          <w:ilvl w:val="0"/>
          <w:numId w:val="3"/>
        </w:numPr>
        <w:spacing w:after="100"/>
      </w:pPr>
      <w:r>
        <w:rPr>
          <w:rFonts w:ascii="Century Gothic" w:cs="Century Gothic" w:eastAsia="Century Gothic" w:hAnsi="Century Gothic"/>
          <w:b/>
          <w:bCs/>
          <w:sz w:val="22"/>
          <w:szCs w:val="22"/>
        </w:rPr>
        <w:t xml:space="preserve">Compliance confidence: </w:t>
      </w:r>
      <w:r>
        <w:rPr>
          <w:rFonts w:ascii="Century Gothic" w:cs="Century Gothic" w:eastAsia="Century Gothic" w:hAnsi="Century Gothic"/>
          <w:sz w:val="22"/>
          <w:szCs w:val="22"/>
        </w:rPr>
        <w:t xml:space="preserve">TPBC’s process is designed around the regulatory requirements from the start—investor control, 817(h) diversification, role separation—rather than treating compliance as an afterthought.</w:t>
      </w:r>
    </w:p>
    <w:p>
      <w:pPr>
        <w:pStyle w:val="ListParagraph"/>
        <w:numPr>
          <w:ilvl w:val="0"/>
          <w:numId w:val="3"/>
        </w:numPr>
        <w:spacing w:after="100"/>
      </w:pPr>
      <w:r>
        <w:rPr>
          <w:rFonts w:ascii="Century Gothic" w:cs="Century Gothic" w:eastAsia="Century Gothic" w:hAnsi="Century Gothic"/>
          <w:b/>
          <w:bCs/>
          <w:sz w:val="22"/>
          <w:szCs w:val="22"/>
        </w:rPr>
        <w:t xml:space="preserve">Scalability: </w:t>
      </w:r>
      <w:r>
        <w:rPr>
          <w:rFonts w:ascii="Century Gothic" w:cs="Century Gothic" w:eastAsia="Century Gothic" w:hAnsi="Century Gothic"/>
          <w:sz w:val="22"/>
          <w:szCs w:val="22"/>
        </w:rPr>
        <w:t xml:space="preserve">Because the process is documented and systematized, TPBC can run multiple cases simultaneously without quality degradation.</w:t>
      </w:r>
    </w:p>
    <w:p>
      <w:r>
        <w:br w:type="page"/>
      </w:r>
    </w:p>
    <w:p>
      <w:pPr>
        <w:pStyle w:val="Heading1"/>
      </w:pPr>
      <w:r>
        <w:rPr>
          <w:rFonts w:ascii="Century Gothic" w:cs="Century Gothic" w:eastAsia="Century Gothic" w:hAnsi="Century Gothic"/>
          <w:sz w:val="22"/>
          <w:szCs w:val="22"/>
        </w:rPr>
        <w:t xml:space="preserve">Part 4: Compliance &amp; Legal Framework</w:t>
      </w:r>
    </w:p>
    <w:p>
      <w:pPr>
        <w:pStyle w:val="Heading2"/>
      </w:pPr>
      <w:r>
        <w:rPr>
          <w:rFonts w:ascii="Century Gothic" w:cs="Century Gothic" w:eastAsia="Century Gothic" w:hAnsi="Century Gothic"/>
          <w:sz w:val="22"/>
          <w:szCs w:val="22"/>
        </w:rPr>
        <w:t xml:space="preserve">Overview</w:t>
      </w:r>
    </w:p>
    <w:p>
      <w:pPr>
        <w:spacing w:after="160" w:before="0"/>
      </w:pPr>
      <w:r>
        <w:rPr>
          <w:rFonts w:ascii="Century Gothic" w:cs="Century Gothic" w:eastAsia="Century Gothic" w:hAnsi="Century Gothic"/>
          <w:sz w:val="22"/>
          <w:szCs w:val="22"/>
        </w:rPr>
        <w:t xml:space="preserve">Compliance is not an afterthought in private placement—it is the foundation. The tax advantages that make a PPVA valuable exist only as long as the structure maintains compliance with specific IRS rules and insurance regulations. This section covers the critical compliance areas that every participant in a PPVA deal must understand.</w:t>
      </w:r>
    </w:p>
    <w:p>
      <w:pPr>
        <w:pStyle w:val="Heading2"/>
      </w:pPr>
      <w:r>
        <w:rPr>
          <w:rFonts w:ascii="Century Gothic" w:cs="Century Gothic" w:eastAsia="Century Gothic" w:hAnsi="Century Gothic"/>
          <w:sz w:val="22"/>
          <w:szCs w:val="22"/>
        </w:rPr>
        <w:t xml:space="preserve">The Investor Control Doctrine</w:t>
      </w:r>
    </w:p>
    <w:p>
      <w:pPr>
        <w:spacing w:after="160" w:before="0"/>
      </w:pPr>
      <w:r>
        <w:rPr>
          <w:rFonts w:ascii="Century Gothic" w:cs="Century Gothic" w:eastAsia="Century Gothic" w:hAnsi="Century Gothic"/>
          <w:sz w:val="22"/>
          <w:szCs w:val="22"/>
        </w:rPr>
        <w:t xml:space="preserve">The investor control doctrine is the single most important compliance concept in private placement. It determines whether the annuity maintains its tax-deferred status.</w:t>
      </w:r>
    </w:p>
    <w:p>
      <w:pPr>
        <w:pStyle w:val="Heading3"/>
      </w:pPr>
      <w:r>
        <w:rPr>
          <w:rFonts w:ascii="Century Gothic" w:cs="Century Gothic" w:eastAsia="Century Gothic" w:hAnsi="Century Gothic"/>
          <w:sz w:val="22"/>
          <w:szCs w:val="22"/>
        </w:rPr>
        <w:t xml:space="preserve">The Rule</w:t>
      </w:r>
    </w:p>
    <w:p>
      <w:pPr>
        <w:spacing w:after="160" w:before="0"/>
      </w:pPr>
      <w:r>
        <w:rPr>
          <w:rFonts w:ascii="Century Gothic" w:cs="Century Gothic" w:eastAsia="Century Gothic" w:hAnsi="Century Gothic"/>
          <w:sz w:val="22"/>
          <w:szCs w:val="22"/>
        </w:rPr>
        <w:t xml:space="preserve">The IRS has established through revenue rulings (Rev. Rul. 77-85, Rev. Rul. 81-225, Rev. Rul. 82-54, and subsequent guidance) that a variable annuity or life insurance contract will lose its tax-advantaged treatment if the policyholder is deemed to have “incidents of ownership” over the underlying investments. In other words: if the client controls the investment decisions, the IRS treats the assets as owned directly by the client, and all tax deferral is lost.</w:t>
      </w:r>
    </w:p>
    <w:p>
      <w:pPr>
        <w:pStyle w:val="Heading3"/>
      </w:pPr>
      <w:r>
        <w:rPr>
          <w:rFonts w:ascii="Century Gothic" w:cs="Century Gothic" w:eastAsia="Century Gothic" w:hAnsi="Century Gothic"/>
          <w:sz w:val="22"/>
          <w:szCs w:val="22"/>
        </w:rPr>
        <w:t xml:space="preserve">What Constitutes “Control”</w:t>
      </w:r>
    </w:p>
    <w:p>
      <w:pPr>
        <w:spacing w:after="160" w:before="0"/>
      </w:pPr>
      <w:r>
        <w:rPr>
          <w:rFonts w:ascii="Century Gothic" w:cs="Century Gothic" w:eastAsia="Century Gothic" w:hAnsi="Century Gothic"/>
          <w:sz w:val="22"/>
          <w:szCs w:val="22"/>
        </w:rPr>
        <w:t xml:space="preserve">The following activities, if performed by the policyholder, may be deemed investor control:</w:t>
      </w:r>
    </w:p>
    <w:p>
      <w:pPr>
        <w:pStyle w:val="ListParagraph"/>
        <w:numPr>
          <w:ilvl w:val="0"/>
          <w:numId w:val="3"/>
        </w:numPr>
        <w:spacing w:after="100"/>
      </w:pPr>
      <w:r>
        <w:rPr>
          <w:rFonts w:ascii="Century Gothic" w:cs="Century Gothic" w:eastAsia="Century Gothic" w:hAnsi="Century Gothic"/>
          <w:sz w:val="22"/>
          <w:szCs w:val="22"/>
        </w:rPr>
        <w:t xml:space="preserve">Directing specific investment purchases or sales within the SMA</w:t>
      </w:r>
    </w:p>
    <w:p>
      <w:pPr>
        <w:pStyle w:val="ListParagraph"/>
        <w:numPr>
          <w:ilvl w:val="0"/>
          <w:numId w:val="3"/>
        </w:numPr>
        <w:spacing w:after="100"/>
      </w:pPr>
      <w:r>
        <w:rPr>
          <w:rFonts w:ascii="Century Gothic" w:cs="Century Gothic" w:eastAsia="Century Gothic" w:hAnsi="Century Gothic"/>
          <w:sz w:val="22"/>
          <w:szCs w:val="22"/>
        </w:rPr>
        <w:t xml:space="preserve">Selecting or changing specific investment allocations after the policy is in force</w:t>
      </w:r>
    </w:p>
    <w:p>
      <w:pPr>
        <w:pStyle w:val="ListParagraph"/>
        <w:numPr>
          <w:ilvl w:val="0"/>
          <w:numId w:val="3"/>
        </w:numPr>
        <w:spacing w:after="100"/>
      </w:pPr>
      <w:r>
        <w:rPr>
          <w:rFonts w:ascii="Century Gothic" w:cs="Century Gothic" w:eastAsia="Century Gothic" w:hAnsi="Century Gothic"/>
          <w:sz w:val="22"/>
          <w:szCs w:val="22"/>
        </w:rPr>
        <w:t xml:space="preserve">Communicating investment instructions to the money manager</w:t>
      </w:r>
    </w:p>
    <w:p>
      <w:pPr>
        <w:pStyle w:val="ListParagraph"/>
        <w:numPr>
          <w:ilvl w:val="0"/>
          <w:numId w:val="3"/>
        </w:numPr>
        <w:spacing w:after="100"/>
      </w:pPr>
      <w:r>
        <w:rPr>
          <w:rFonts w:ascii="Century Gothic" w:cs="Century Gothic" w:eastAsia="Century Gothic" w:hAnsi="Century Gothic"/>
          <w:sz w:val="22"/>
          <w:szCs w:val="22"/>
        </w:rPr>
        <w:t xml:space="preserve">Having the right to approve or veto specific trades</w:t>
      </w:r>
    </w:p>
    <w:p>
      <w:pPr>
        <w:pStyle w:val="ListParagraph"/>
        <w:numPr>
          <w:ilvl w:val="0"/>
          <w:numId w:val="3"/>
        </w:numPr>
        <w:spacing w:after="100"/>
      </w:pPr>
      <w:r>
        <w:rPr>
          <w:rFonts w:ascii="Century Gothic" w:cs="Century Gothic" w:eastAsia="Century Gothic" w:hAnsi="Century Gothic"/>
          <w:sz w:val="22"/>
          <w:szCs w:val="22"/>
        </w:rPr>
        <w:t xml:space="preserve">Exercising direct influence over portfolio composition beyond initial advisor selection</w:t>
      </w:r>
    </w:p>
    <w:p>
      <w:pPr>
        <w:pStyle w:val="Heading3"/>
      </w:pPr>
      <w:r>
        <w:rPr>
          <w:rFonts w:ascii="Century Gothic" w:cs="Century Gothic" w:eastAsia="Century Gothic" w:hAnsi="Century Gothic"/>
          <w:sz w:val="22"/>
          <w:szCs w:val="22"/>
        </w:rPr>
        <w:t xml:space="preserve">How TPBC’s Model Avoids Control Issues</w:t>
      </w:r>
    </w:p>
    <w:p>
      <w:pPr>
        <w:spacing w:after="160" w:before="0"/>
      </w:pPr>
      <w:r>
        <w:rPr>
          <w:rFonts w:ascii="Century Gothic" w:cs="Century Gothic" w:eastAsia="Century Gothic" w:hAnsi="Century Gothic"/>
          <w:sz w:val="22"/>
          <w:szCs w:val="22"/>
        </w:rPr>
        <w:t xml:space="preserve">The TPBC structure is specifically designed to stay on the right side of the investor control doctrine:</w:t>
      </w:r>
    </w:p>
    <w:p>
      <w:pPr>
        <w:pStyle w:val="ListParagraph"/>
        <w:numPr>
          <w:ilvl w:val="0"/>
          <w:numId w:val="3"/>
        </w:numPr>
        <w:spacing w:after="100"/>
      </w:pPr>
      <w:r>
        <w:rPr>
          <w:rFonts w:ascii="Century Gothic" w:cs="Century Gothic" w:eastAsia="Century Gothic" w:hAnsi="Century Gothic"/>
          <w:b/>
          <w:bCs/>
          <w:sz w:val="22"/>
          <w:szCs w:val="22"/>
        </w:rPr>
        <w:t xml:space="preserve">Carrier ownership: </w:t>
      </w:r>
      <w:r>
        <w:rPr>
          <w:rFonts w:ascii="Century Gothic" w:cs="Century Gothic" w:eastAsia="Century Gothic" w:hAnsi="Century Gothic"/>
          <w:sz w:val="22"/>
          <w:szCs w:val="22"/>
        </w:rPr>
        <w:t xml:space="preserve">The insurance carrier (through its entity structure) owns the policy assets. The client owns the annuity contract, not the underlying investments.</w:t>
      </w:r>
    </w:p>
    <w:p>
      <w:pPr>
        <w:pStyle w:val="ListParagraph"/>
        <w:numPr>
          <w:ilvl w:val="0"/>
          <w:numId w:val="3"/>
        </w:numPr>
        <w:spacing w:after="100"/>
      </w:pPr>
      <w:r>
        <w:rPr>
          <w:rFonts w:ascii="Century Gothic" w:cs="Century Gothic" w:eastAsia="Century Gothic" w:hAnsi="Century Gothic"/>
          <w:b/>
          <w:bCs/>
          <w:sz w:val="22"/>
          <w:szCs w:val="22"/>
        </w:rPr>
        <w:t xml:space="preserve">Discretionary management: </w:t>
      </w:r>
      <w:r>
        <w:rPr>
          <w:rFonts w:ascii="Century Gothic" w:cs="Century Gothic" w:eastAsia="Century Gothic" w:hAnsi="Century Gothic"/>
          <w:sz w:val="22"/>
          <w:szCs w:val="22"/>
        </w:rPr>
        <w:t xml:space="preserve">The carrier grants discretionary management authority to the RIA through a formal agreement. The RIA makes all investment decisions independently under fiduciary standards.</w:t>
      </w:r>
    </w:p>
    <w:p>
      <w:pPr>
        <w:pStyle w:val="ListParagraph"/>
        <w:numPr>
          <w:ilvl w:val="0"/>
          <w:numId w:val="3"/>
        </w:numPr>
        <w:spacing w:after="100"/>
      </w:pPr>
      <w:r>
        <w:rPr>
          <w:rFonts w:ascii="Century Gothic" w:cs="Century Gothic" w:eastAsia="Century Gothic" w:hAnsi="Century Gothic"/>
          <w:b/>
          <w:bCs/>
          <w:sz w:val="22"/>
          <w:szCs w:val="22"/>
        </w:rPr>
        <w:t xml:space="preserve">No client directives: </w:t>
      </w:r>
      <w:r>
        <w:rPr>
          <w:rFonts w:ascii="Century Gothic" w:cs="Century Gothic" w:eastAsia="Century Gothic" w:hAnsi="Century Gothic"/>
          <w:sz w:val="22"/>
          <w:szCs w:val="22"/>
        </w:rPr>
        <w:t xml:space="preserve">The client does not instruct the RIA on specific investments. The client selects their advisor before the policy is placed, but once in force, the RIA exercises independent judgment.</w:t>
      </w:r>
    </w:p>
    <w:p>
      <w:pPr>
        <w:pStyle w:val="ListParagraph"/>
        <w:numPr>
          <w:ilvl w:val="0"/>
          <w:numId w:val="3"/>
        </w:numPr>
        <w:spacing w:after="100"/>
      </w:pPr>
      <w:r>
        <w:rPr>
          <w:rFonts w:ascii="Century Gothic" w:cs="Century Gothic" w:eastAsia="Century Gothic" w:hAnsi="Century Gothic"/>
          <w:b/>
          <w:bCs/>
          <w:sz w:val="22"/>
          <w:szCs w:val="22"/>
        </w:rPr>
        <w:t xml:space="preserve">No-client-control affirmation: </w:t>
      </w:r>
      <w:r>
        <w:rPr>
          <w:rFonts w:ascii="Century Gothic" w:cs="Century Gothic" w:eastAsia="Century Gothic" w:hAnsi="Century Gothic"/>
          <w:sz w:val="22"/>
          <w:szCs w:val="22"/>
        </w:rPr>
        <w:t xml:space="preserve">All parties sign a no-client-control document affirming that the policyholder will not exercise control over investment decisions.</w:t>
      </w:r>
    </w:p>
    <w:p>
      <w:pPr>
        <w:pStyle w:val="ListParagraph"/>
        <w:numPr>
          <w:ilvl w:val="0"/>
          <w:numId w:val="3"/>
        </w:numPr>
        <w:spacing w:after="100"/>
      </w:pPr>
      <w:r>
        <w:rPr>
          <w:rFonts w:ascii="Century Gothic" w:cs="Century Gothic" w:eastAsia="Century Gothic" w:hAnsi="Century Gothic"/>
          <w:b/>
          <w:bCs/>
          <w:sz w:val="22"/>
          <w:szCs w:val="22"/>
        </w:rPr>
        <w:t xml:space="preserve">Administrative access (not broker of record): </w:t>
      </w:r>
      <w:r>
        <w:rPr>
          <w:rFonts w:ascii="Century Gothic" w:cs="Century Gothic" w:eastAsia="Century Gothic" w:hAnsi="Century Gothic"/>
          <w:sz w:val="22"/>
          <w:szCs w:val="22"/>
        </w:rPr>
        <w:t xml:space="preserve">The RIA receives administrative access from the carrier rather than a broker of record designation, reinforcing that the management function is separate from any brokerage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A3" w:sz="6"/>
              <w:left w:val="single" w:color="C5C3C6" w:sz="1"/>
              <w:bottom w:val="single" w:color="C5C3C6" w:sz="1"/>
              <w:right w:val="single" w:color="C5C3C6" w:sz="1"/>
            </w:tcBorders>
            <w:shd w:fill="D0EEF4" w:val="clear"/>
            <w:tcMar>
              <w:top w:type="dxa" w:w="120"/>
              <w:left w:type="dxa" w:w="200"/>
              <w:bottom w:type="dxa" w:w="120"/>
              <w:right w:type="dxa" w:w="200"/>
            </w:tcMar>
          </w:tcPr>
          <w:p>
            <w:r>
              <w:rPr>
                <w:rFonts w:ascii="Century Gothic" w:cs="Century Gothic" w:eastAsia="Century Gothic" w:hAnsi="Century Gothic"/>
                <w:b/>
                <w:bCs/>
                <w:sz w:val="22"/>
                <w:szCs w:val="22"/>
              </w:rPr>
              <w:t xml:space="preserve">Critical Reminder for All Partners</w:t>
            </w:r>
          </w:p>
          <w:p>
            <w:pPr>
              <w:spacing w:after="80"/>
            </w:pPr>
            <w:r>
              <w:rPr>
                <w:rFonts w:ascii="Century Gothic" w:cs="Century Gothic" w:eastAsia="Century Gothic" w:hAnsi="Century Gothic"/>
                <w:sz w:val="20"/>
                <w:szCs w:val="20"/>
              </w:rPr>
              <w:t xml:space="preserve">No one involved in the deal should ever communicate to the client that they can “choose their investments” or “direct the portfolio.” The client selects their advisor. The advisor manages the portfolio. This distinction matters enormously.</w:t>
            </w:r>
          </w:p>
        </w:tc>
      </w:tr>
    </w:tbl>
    <w:p>
      <w:pPr>
        <w:pStyle w:val="Heading2"/>
      </w:pPr>
      <w:r>
        <w:rPr>
          <w:rFonts w:ascii="Century Gothic" w:cs="Century Gothic" w:eastAsia="Century Gothic" w:hAnsi="Century Gothic"/>
          <w:sz w:val="22"/>
          <w:szCs w:val="22"/>
        </w:rPr>
        <w:t xml:space="preserve">IRC Section 817(h): Diversification Requirements</w:t>
      </w:r>
    </w:p>
    <w:p>
      <w:pPr>
        <w:spacing w:after="160" w:before="0"/>
      </w:pPr>
      <w:r>
        <w:rPr>
          <w:rFonts w:ascii="Century Gothic" w:cs="Century Gothic" w:eastAsia="Century Gothic" w:hAnsi="Century Gothic"/>
          <w:sz w:val="22"/>
          <w:szCs w:val="22"/>
        </w:rPr>
        <w:t xml:space="preserve">Section 817(h) of the Internal Revenue Code requires that the investments within a variable annuity or life insurance contract satisfy specific diversification standards. Failure to meet these requirements causes the contract to be treated as non-annuity, eliminating all tax deferral.</w:t>
      </w:r>
    </w:p>
    <w:p>
      <w:pPr>
        <w:pStyle w:val="Heading3"/>
      </w:pPr>
      <w:r>
        <w:rPr>
          <w:rFonts w:ascii="Century Gothic" w:cs="Century Gothic" w:eastAsia="Century Gothic" w:hAnsi="Century Gothic"/>
          <w:sz w:val="22"/>
          <w:szCs w:val="22"/>
        </w:rPr>
        <w:t xml:space="preserve">The Diversification Test</w:t>
      </w:r>
    </w:p>
    <w:p>
      <w:pPr>
        <w:spacing w:after="160" w:before="0"/>
      </w:pPr>
      <w:r>
        <w:rPr>
          <w:rFonts w:ascii="Century Gothic" w:cs="Century Gothic" w:eastAsia="Century Gothic" w:hAnsi="Century Gothic"/>
          <w:sz w:val="22"/>
          <w:szCs w:val="22"/>
        </w:rPr>
        <w:t xml:space="preserve">Under Treasury Regulation 1.817-5, the segregated asset account must meet the following requirements as of the end of each quarter:</w:t>
      </w:r>
    </w:p>
    <w:p>
      <w:pPr>
        <w:pStyle w:val="ListParagraph"/>
        <w:numPr>
          <w:ilvl w:val="0"/>
          <w:numId w:val="3"/>
        </w:numPr>
        <w:spacing w:after="100"/>
      </w:pPr>
      <w:r>
        <w:rPr>
          <w:rFonts w:ascii="Century Gothic" w:cs="Century Gothic" w:eastAsia="Century Gothic" w:hAnsi="Century Gothic"/>
          <w:sz w:val="22"/>
          <w:szCs w:val="22"/>
        </w:rPr>
        <w:t xml:space="preserve">No single investment may represent more than 55% of the total value of the account</w:t>
      </w:r>
    </w:p>
    <w:p>
      <w:pPr>
        <w:pStyle w:val="ListParagraph"/>
        <w:numPr>
          <w:ilvl w:val="0"/>
          <w:numId w:val="3"/>
        </w:numPr>
        <w:spacing w:after="100"/>
      </w:pPr>
      <w:r>
        <w:rPr>
          <w:rFonts w:ascii="Century Gothic" w:cs="Century Gothic" w:eastAsia="Century Gothic" w:hAnsi="Century Gothic"/>
          <w:sz w:val="22"/>
          <w:szCs w:val="22"/>
        </w:rPr>
        <w:t xml:space="preserve">No two investments may together represent more than 70% of the total value</w:t>
      </w:r>
    </w:p>
    <w:p>
      <w:pPr>
        <w:pStyle w:val="ListParagraph"/>
        <w:numPr>
          <w:ilvl w:val="0"/>
          <w:numId w:val="3"/>
        </w:numPr>
        <w:spacing w:after="100"/>
      </w:pPr>
      <w:r>
        <w:rPr>
          <w:rFonts w:ascii="Century Gothic" w:cs="Century Gothic" w:eastAsia="Century Gothic" w:hAnsi="Century Gothic"/>
          <w:sz w:val="22"/>
          <w:szCs w:val="22"/>
        </w:rPr>
        <w:t xml:space="preserve">No three investments may together represent more than 80% of the total value</w:t>
      </w:r>
    </w:p>
    <w:p>
      <w:pPr>
        <w:pStyle w:val="ListParagraph"/>
        <w:numPr>
          <w:ilvl w:val="0"/>
          <w:numId w:val="3"/>
        </w:numPr>
        <w:spacing w:after="100"/>
      </w:pPr>
      <w:r>
        <w:rPr>
          <w:rFonts w:ascii="Century Gothic" w:cs="Century Gothic" w:eastAsia="Century Gothic" w:hAnsi="Century Gothic"/>
          <w:sz w:val="22"/>
          <w:szCs w:val="22"/>
        </w:rPr>
        <w:t xml:space="preserve">No four investments may together represent more than 90% of the total value</w:t>
      </w:r>
    </w:p>
    <w:p>
      <w:pPr>
        <w:pStyle w:val="ListParagraph"/>
        <w:numPr>
          <w:ilvl w:val="0"/>
          <w:numId w:val="3"/>
        </w:numPr>
        <w:spacing w:after="100"/>
      </w:pPr>
      <w:r>
        <w:rPr>
          <w:rFonts w:ascii="Century Gothic" w:cs="Century Gothic" w:eastAsia="Century Gothic" w:hAnsi="Century Gothic"/>
          <w:sz w:val="22"/>
          <w:szCs w:val="22"/>
        </w:rPr>
        <w:t xml:space="preserve">A minimum of five different investments must be maintained</w:t>
      </w:r>
    </w:p>
    <w:p>
      <w:pPr>
        <w:spacing w:after="160" w:before="0"/>
      </w:pPr>
      <w:r>
        <w:rPr>
          <w:rFonts w:ascii="Century Gothic" w:cs="Century Gothic" w:eastAsia="Century Gothic" w:hAnsi="Century Gothic"/>
          <w:sz w:val="22"/>
          <w:szCs w:val="22"/>
        </w:rPr>
        <w:t xml:space="preserve">Note: Government securities receive special treatment and may satisfy multiple prongs of the test. The specific application of the look-through rules depends on the investment vehicle structure.</w:t>
      </w:r>
    </w:p>
    <w:p>
      <w:pPr>
        <w:pStyle w:val="Heading3"/>
      </w:pPr>
      <w:r>
        <w:rPr>
          <w:rFonts w:ascii="Century Gothic" w:cs="Century Gothic" w:eastAsia="Century Gothic" w:hAnsi="Century Gothic"/>
          <w:sz w:val="22"/>
          <w:szCs w:val="22"/>
        </w:rPr>
        <w:t xml:space="preserve">Maintaining Compliance</w:t>
      </w:r>
    </w:p>
    <w:p>
      <w:pPr>
        <w:spacing w:after="160" w:before="0"/>
      </w:pPr>
      <w:r>
        <w:rPr>
          <w:rFonts w:ascii="Century Gothic" w:cs="Century Gothic" w:eastAsia="Century Gothic" w:hAnsi="Century Gothic"/>
          <w:sz w:val="22"/>
          <w:szCs w:val="22"/>
        </w:rPr>
        <w:t xml:space="preserve">The RIA managing the SMA is responsible for ensuring that the portfolio satisfies 817(h) diversification at all times. The carrier provides oversight and monitoring. In practice, this means:</w:t>
      </w:r>
    </w:p>
    <w:p>
      <w:pPr>
        <w:pStyle w:val="ListParagraph"/>
        <w:numPr>
          <w:ilvl w:val="0"/>
          <w:numId w:val="3"/>
        </w:numPr>
        <w:spacing w:after="100"/>
      </w:pPr>
      <w:r>
        <w:rPr>
          <w:rFonts w:ascii="Century Gothic" w:cs="Century Gothic" w:eastAsia="Century Gothic" w:hAnsi="Century Gothic"/>
          <w:sz w:val="22"/>
          <w:szCs w:val="22"/>
        </w:rPr>
        <w:t xml:space="preserve">Initial allocation must satisfy the diversification test from day one</w:t>
      </w:r>
    </w:p>
    <w:p>
      <w:pPr>
        <w:pStyle w:val="ListParagraph"/>
        <w:numPr>
          <w:ilvl w:val="0"/>
          <w:numId w:val="3"/>
        </w:numPr>
        <w:spacing w:after="100"/>
      </w:pPr>
      <w:r>
        <w:rPr>
          <w:rFonts w:ascii="Century Gothic" w:cs="Century Gothic" w:eastAsia="Century Gothic" w:hAnsi="Century Gothic"/>
          <w:sz w:val="22"/>
          <w:szCs w:val="22"/>
        </w:rPr>
        <w:t xml:space="preserve">Quarterly monitoring to ensure ongoing compliance</w:t>
      </w:r>
    </w:p>
    <w:p>
      <w:pPr>
        <w:pStyle w:val="ListParagraph"/>
        <w:numPr>
          <w:ilvl w:val="0"/>
          <w:numId w:val="3"/>
        </w:numPr>
        <w:spacing w:after="100"/>
      </w:pPr>
      <w:r>
        <w:rPr>
          <w:rFonts w:ascii="Century Gothic" w:cs="Century Gothic" w:eastAsia="Century Gothic" w:hAnsi="Century Gothic"/>
          <w:sz w:val="22"/>
          <w:szCs w:val="22"/>
        </w:rPr>
        <w:t xml:space="preserve">Rebalancing as needed to maintain compliance after market movements</w:t>
      </w:r>
    </w:p>
    <w:p>
      <w:pPr>
        <w:pStyle w:val="ListParagraph"/>
        <w:numPr>
          <w:ilvl w:val="0"/>
          <w:numId w:val="3"/>
        </w:numPr>
        <w:spacing w:after="100"/>
      </w:pPr>
      <w:r>
        <w:rPr>
          <w:rFonts w:ascii="Century Gothic" w:cs="Century Gothic" w:eastAsia="Century Gothic" w:hAnsi="Century Gothic"/>
          <w:sz w:val="22"/>
          <w:szCs w:val="22"/>
        </w:rPr>
        <w:t xml:space="preserve">Adequate cash reserves to prevent concentration from forced liquidation scenarios</w:t>
      </w:r>
    </w:p>
    <w:p>
      <w:pPr>
        <w:pStyle w:val="ListParagraph"/>
        <w:numPr>
          <w:ilvl w:val="0"/>
          <w:numId w:val="3"/>
        </w:numPr>
        <w:spacing w:after="100"/>
      </w:pPr>
      <w:r>
        <w:rPr>
          <w:rFonts w:ascii="Century Gothic" w:cs="Century Gothic" w:eastAsia="Century Gothic" w:hAnsi="Century Gothic"/>
          <w:sz w:val="22"/>
          <w:szCs w:val="22"/>
        </w:rPr>
        <w:t xml:space="preserve">Coordination between the RIA and carrier on any allocation changes that could affect diversification status</w:t>
      </w:r>
    </w:p>
    <w:p>
      <w:pPr>
        <w:pStyle w:val="Heading2"/>
      </w:pPr>
      <w:r>
        <w:rPr>
          <w:rFonts w:ascii="Century Gothic" w:cs="Century Gothic" w:eastAsia="Century Gothic" w:hAnsi="Century Gothic"/>
          <w:sz w:val="22"/>
          <w:szCs w:val="22"/>
        </w:rPr>
        <w:t xml:space="preserve">BD/RIA Role Separation</w:t>
      </w:r>
    </w:p>
    <w:p>
      <w:pPr>
        <w:spacing w:after="160" w:before="0"/>
      </w:pPr>
      <w:r>
        <w:rPr>
          <w:rFonts w:ascii="Century Gothic" w:cs="Century Gothic" w:eastAsia="Century Gothic" w:hAnsi="Century Gothic"/>
          <w:sz w:val="22"/>
          <w:szCs w:val="22"/>
        </w:rPr>
        <w:t xml:space="preserve">The strict separation between broker-dealer activities and registered investment advisor activities is a cornerstone of the TPBC model. This separation exists for regulatory, compensation, and fiduciary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
            </w:r>
          </w:p>
        </w:tc>
        <w:tc>
          <w:tcPr>
            <w:tcW w:type="dxa" w:w="343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Broker-Dealer (Phase 1)</w:t>
            </w:r>
          </w:p>
        </w:tc>
        <w:tc>
          <w:tcPr>
            <w:tcW w:type="dxa" w:w="3430"/>
            <w:tcBorders>
              <w:top w:val="single" w:color="C5C3C6" w:sz="1"/>
              <w:left w:val="single" w:color="C5C3C6" w:sz="1"/>
              <w:bottom w:val="single" w:color="C5C3C6" w:sz="1"/>
              <w:right w:val="single" w:color="C5C3C6" w:sz="1"/>
            </w:tcBorders>
            <w:shd w:fill="003661" w:val="clear"/>
            <w:tcMar>
              <w:top w:type="dxa" w:w="80"/>
              <w:left w:type="dxa" w:w="120"/>
              <w:bottom w:type="dxa" w:w="80"/>
              <w:right w:type="dxa" w:w="120"/>
            </w:tcMar>
          </w:tcPr>
          <w:p>
            <w:pPr>
              <w:jc w:val="left"/>
            </w:pPr>
            <w:r>
              <w:rPr>
                <w:rFonts w:ascii="Century Gothic" w:cs="Century Gothic" w:eastAsia="Century Gothic" w:hAnsi="Century Gothic"/>
                <w:b/>
                <w:bCs/>
                <w:color w:val="FFFFFF"/>
                <w:sz w:val="20"/>
                <w:szCs w:val="20"/>
              </w:rPr>
              <w:t xml:space="preserve">RIA (Phase 2)</w:t>
            </w:r>
          </w:p>
        </w:tc>
      </w:tr>
      <w:tr>
        <w:tc>
          <w:tcPr>
            <w:tcW w:type="dxa" w:w="25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Function</w:t>
            </w:r>
          </w:p>
        </w:tc>
        <w:tc>
          <w:tcPr>
            <w:tcW w:type="dxa" w:w="343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Case placement and application execution</w:t>
            </w:r>
          </w:p>
        </w:tc>
        <w:tc>
          <w:tcPr>
            <w:tcW w:type="dxa" w:w="343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Discretionary portfolio management</w:t>
            </w:r>
          </w:p>
        </w:tc>
      </w:tr>
      <w:tr>
        <w:tc>
          <w:tcPr>
            <w:tcW w:type="dxa" w:w="25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Compensation</w:t>
            </w:r>
          </w:p>
        </w:tc>
        <w:tc>
          <w:tcPr>
            <w:tcW w:type="dxa" w:w="343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Commission-based (one-time)</w:t>
            </w:r>
          </w:p>
        </w:tc>
        <w:tc>
          <w:tcPr>
            <w:tcW w:type="dxa" w:w="343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Fee-based (ongoing)</w:t>
            </w:r>
          </w:p>
        </w:tc>
      </w:tr>
      <w:tr>
        <w:tc>
          <w:tcPr>
            <w:tcW w:type="dxa" w:w="25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Duration</w:t>
            </w:r>
          </w:p>
        </w:tc>
        <w:tc>
          <w:tcPr>
            <w:tcW w:type="dxa" w:w="343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Ends completely after funding</w:t>
            </w:r>
          </w:p>
        </w:tc>
        <w:tc>
          <w:tcPr>
            <w:tcW w:type="dxa" w:w="343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Ongoing for life of policy</w:t>
            </w:r>
          </w:p>
        </w:tc>
      </w:tr>
      <w:tr>
        <w:tc>
          <w:tcPr>
            <w:tcW w:type="dxa" w:w="25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Standard</w:t>
            </w:r>
          </w:p>
        </w:tc>
        <w:tc>
          <w:tcPr>
            <w:tcW w:type="dxa" w:w="343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Suitability (Reg BI)</w:t>
            </w:r>
          </w:p>
        </w:tc>
        <w:tc>
          <w:tcPr>
            <w:tcW w:type="dxa" w:w="343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Fiduciary (Investment Advisers Act)</w:t>
            </w:r>
          </w:p>
        </w:tc>
      </w:tr>
      <w:tr>
        <w:tc>
          <w:tcPr>
            <w:tcW w:type="dxa" w:w="25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Relationship</w:t>
            </w:r>
          </w:p>
        </w:tc>
        <w:tc>
          <w:tcPr>
            <w:tcW w:type="dxa" w:w="343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Transactional — no ongoing obligation</w:t>
            </w:r>
          </w:p>
        </w:tc>
        <w:tc>
          <w:tcPr>
            <w:tcW w:type="dxa" w:w="3430"/>
            <w:tcBorders>
              <w:top w:val="single" w:color="C5C3C6" w:sz="1"/>
              <w:left w:val="single" w:color="C5C3C6" w:sz="1"/>
              <w:bottom w:val="single" w:color="C5C3C6" w:sz="1"/>
              <w:right w:val="single" w:color="C5C3C6" w:sz="1"/>
            </w:tcBorders>
            <w:tcMar>
              <w:top w:type="dxa" w:w="80"/>
              <w:left w:type="dxa" w:w="120"/>
              <w:bottom w:type="dxa" w:w="80"/>
              <w:right w:type="dxa" w:w="120"/>
            </w:tcMar>
          </w:tcPr>
          <w:p>
            <w:pPr>
              <w:jc w:val="left"/>
            </w:pPr>
            <w:r>
              <w:rPr>
                <w:rFonts w:ascii="Century Gothic" w:cs="Century Gothic" w:eastAsia="Century Gothic" w:hAnsi="Century Gothic"/>
                <w:sz w:val="20"/>
                <w:szCs w:val="20"/>
              </w:rPr>
              <w:t xml:space="preserve">Continuous — ongoing fiduciary duty</w:t>
            </w:r>
          </w:p>
        </w:tc>
      </w:tr>
      <w:tr>
        <w:tc>
          <w:tcPr>
            <w:tcW w:type="dxa" w:w="250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b/>
                <w:bCs/>
                <w:sz w:val="20"/>
                <w:szCs w:val="20"/>
              </w:rPr>
              <w:t xml:space="preserve">Renewals</w:t>
            </w:r>
          </w:p>
        </w:tc>
        <w:tc>
          <w:tcPr>
            <w:tcW w:type="dxa" w:w="343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None. No trail commissions.</w:t>
            </w:r>
          </w:p>
        </w:tc>
        <w:tc>
          <w:tcPr>
            <w:tcW w:type="dxa" w:w="3430"/>
            <w:tcBorders>
              <w:top w:val="single" w:color="C5C3C6" w:sz="1"/>
              <w:left w:val="single" w:color="C5C3C6" w:sz="1"/>
              <w:bottom w:val="single" w:color="C5C3C6" w:sz="1"/>
              <w:right w:val="single" w:color="C5C3C6" w:sz="1"/>
            </w:tcBorders>
            <w:shd w:fill="F5F6F8" w:val="clear"/>
            <w:tcMar>
              <w:top w:type="dxa" w:w="80"/>
              <w:left w:type="dxa" w:w="120"/>
              <w:bottom w:type="dxa" w:w="80"/>
              <w:right w:type="dxa" w:w="120"/>
            </w:tcMar>
          </w:tcPr>
          <w:p>
            <w:pPr>
              <w:jc w:val="left"/>
            </w:pPr>
            <w:r>
              <w:rPr>
                <w:rFonts w:ascii="Century Gothic" w:cs="Century Gothic" w:eastAsia="Century Gothic" w:hAnsi="Century Gothic"/>
                <w:sz w:val="20"/>
                <w:szCs w:val="20"/>
              </w:rPr>
              <w:t xml:space="preserve">Ongoing advisory fees per agreement</w:t>
            </w:r>
          </w:p>
        </w:tc>
      </w:tr>
    </w:tbl>
    <w:p>
      <w:pPr>
        <w:spacing w:after="160" w:before="0"/>
      </w:pPr>
      <w:r>
        <w:rPr>
          <w:rFonts w:ascii="Century Gothic" w:cs="Century Gothic" w:eastAsia="Century Gothic" w:hAnsi="Century Gothic"/>
          <w:sz w:val="22"/>
          <w:szCs w:val="22"/>
        </w:rPr>
        <w:t xml:space="preserve"/>
      </w:r>
    </w:p>
    <w:p>
      <w:pPr>
        <w:spacing w:after="160" w:before="0"/>
      </w:pPr>
      <w:r>
        <w:rPr>
          <w:rFonts w:ascii="Century Gothic" w:cs="Century Gothic" w:eastAsia="Century Gothic" w:hAnsi="Century Gothic"/>
          <w:b/>
          <w:bCs/>
          <w:sz w:val="22"/>
          <w:szCs w:val="22"/>
        </w:rPr>
        <w:t xml:space="preserve">The Transition Window </w:t>
      </w:r>
      <w:r>
        <w:rPr>
          <w:rFonts w:ascii="Century Gothic" w:cs="Century Gothic" w:eastAsia="Century Gothic" w:hAnsi="Century Gothic"/>
          <w:sz w:val="22"/>
          <w:szCs w:val="22"/>
        </w:rPr>
        <w:t xml:space="preserve">between Phase 1 and Phase 2 ensures there is no temporal overlap between these roles. During the transition (approximately 3 business days), the carrier builds the SMA infrastructure and configures access. No broker activities occur. No advisory activities occur. This clean break is critical for demonstrating that the roles are truly separate.</w:t>
      </w:r>
    </w:p>
    <w:p>
      <w:pPr>
        <w:pStyle w:val="Heading2"/>
      </w:pPr>
      <w:r>
        <w:rPr>
          <w:rFonts w:ascii="Century Gothic" w:cs="Century Gothic" w:eastAsia="Century Gothic" w:hAnsi="Century Gothic"/>
          <w:sz w:val="22"/>
          <w:szCs w:val="22"/>
        </w:rPr>
        <w:t xml:space="preserve">KYC / AML Requirements</w:t>
      </w:r>
    </w:p>
    <w:p>
      <w:pPr>
        <w:spacing w:after="160" w:before="0"/>
      </w:pPr>
      <w:r>
        <w:rPr>
          <w:rFonts w:ascii="Century Gothic" w:cs="Century Gothic" w:eastAsia="Century Gothic" w:hAnsi="Century Gothic"/>
          <w:sz w:val="22"/>
          <w:szCs w:val="22"/>
        </w:rPr>
        <w:t xml:space="preserve">Every PPVA case requires comprehensive Know Your Customer and Anti-Money Laundering documentation. The carrier’s compliance team reviews all submissions before approving the case. Required documentation typically includes:</w:t>
      </w:r>
    </w:p>
    <w:p>
      <w:pPr>
        <w:pStyle w:val="ListParagraph"/>
        <w:numPr>
          <w:ilvl w:val="0"/>
          <w:numId w:val="3"/>
        </w:numPr>
        <w:spacing w:after="100"/>
      </w:pPr>
      <w:r>
        <w:rPr>
          <w:rFonts w:ascii="Century Gothic" w:cs="Century Gothic" w:eastAsia="Century Gothic" w:hAnsi="Century Gothic"/>
          <w:b/>
          <w:bCs/>
          <w:sz w:val="22"/>
          <w:szCs w:val="22"/>
        </w:rPr>
        <w:t xml:space="preserve">Individual identification: </w:t>
      </w:r>
      <w:r>
        <w:rPr>
          <w:rFonts w:ascii="Century Gothic" w:cs="Century Gothic" w:eastAsia="Century Gothic" w:hAnsi="Century Gothic"/>
          <w:sz w:val="22"/>
          <w:szCs w:val="22"/>
        </w:rPr>
        <w:t xml:space="preserve">Government-issued photo ID, proof of address, date of birth, citizenship/residency status</w:t>
      </w:r>
    </w:p>
    <w:p>
      <w:pPr>
        <w:pStyle w:val="ListParagraph"/>
        <w:numPr>
          <w:ilvl w:val="0"/>
          <w:numId w:val="3"/>
        </w:numPr>
        <w:spacing w:after="100"/>
      </w:pPr>
      <w:r>
        <w:rPr>
          <w:rFonts w:ascii="Century Gothic" w:cs="Century Gothic" w:eastAsia="Century Gothic" w:hAnsi="Century Gothic"/>
          <w:b/>
          <w:bCs/>
          <w:sz w:val="22"/>
          <w:szCs w:val="22"/>
        </w:rPr>
        <w:t xml:space="preserve">Entity documentation: </w:t>
      </w:r>
      <w:r>
        <w:rPr>
          <w:rFonts w:ascii="Century Gothic" w:cs="Century Gothic" w:eastAsia="Century Gothic" w:hAnsi="Century Gothic"/>
          <w:sz w:val="22"/>
          <w:szCs w:val="22"/>
        </w:rPr>
        <w:t xml:space="preserve">LLC operating agreement or trust documents, articles of organization, certificate of good standing, beneficial ownership disclosure</w:t>
      </w:r>
    </w:p>
    <w:p>
      <w:pPr>
        <w:pStyle w:val="ListParagraph"/>
        <w:numPr>
          <w:ilvl w:val="0"/>
          <w:numId w:val="3"/>
        </w:numPr>
        <w:spacing w:after="100"/>
      </w:pPr>
      <w:r>
        <w:rPr>
          <w:rFonts w:ascii="Century Gothic" w:cs="Century Gothic" w:eastAsia="Century Gothic" w:hAnsi="Century Gothic"/>
          <w:b/>
          <w:bCs/>
          <w:sz w:val="22"/>
          <w:szCs w:val="22"/>
        </w:rPr>
        <w:t xml:space="preserve">Source of funds: </w:t>
      </w:r>
      <w:r>
        <w:rPr>
          <w:rFonts w:ascii="Century Gothic" w:cs="Century Gothic" w:eastAsia="Century Gothic" w:hAnsi="Century Gothic"/>
          <w:sz w:val="22"/>
          <w:szCs w:val="22"/>
        </w:rPr>
        <w:t xml:space="preserve">Documentation of where the premium is coming from (investment accounts, business proceeds, 1035 exchange, etc.)</w:t>
      </w:r>
    </w:p>
    <w:p>
      <w:pPr>
        <w:pStyle w:val="ListParagraph"/>
        <w:numPr>
          <w:ilvl w:val="0"/>
          <w:numId w:val="3"/>
        </w:numPr>
        <w:spacing w:after="100"/>
      </w:pPr>
      <w:r>
        <w:rPr>
          <w:rFonts w:ascii="Century Gothic" w:cs="Century Gothic" w:eastAsia="Century Gothic" w:hAnsi="Century Gothic"/>
          <w:b/>
          <w:bCs/>
          <w:sz w:val="22"/>
          <w:szCs w:val="22"/>
        </w:rPr>
        <w:t xml:space="preserve">Due diligence questionnaire: </w:t>
      </w:r>
      <w:r>
        <w:rPr>
          <w:rFonts w:ascii="Century Gothic" w:cs="Century Gothic" w:eastAsia="Century Gothic" w:hAnsi="Century Gothic"/>
          <w:sz w:val="22"/>
          <w:szCs w:val="22"/>
        </w:rPr>
        <w:t xml:space="preserve">Background questions covering legal history, politically exposed person status, sanctions screening, and source of wealth</w:t>
      </w:r>
    </w:p>
    <w:p>
      <w:pPr>
        <w:pStyle w:val="ListParagraph"/>
        <w:numPr>
          <w:ilvl w:val="0"/>
          <w:numId w:val="3"/>
        </w:numPr>
        <w:spacing w:after="100"/>
      </w:pPr>
      <w:r>
        <w:rPr>
          <w:rFonts w:ascii="Century Gothic" w:cs="Century Gothic" w:eastAsia="Century Gothic" w:hAnsi="Century Gothic"/>
          <w:b/>
          <w:bCs/>
          <w:sz w:val="22"/>
          <w:szCs w:val="22"/>
        </w:rPr>
        <w:t xml:space="preserve">Tax identification: </w:t>
      </w:r>
      <w:r>
        <w:rPr>
          <w:rFonts w:ascii="Century Gothic" w:cs="Century Gothic" w:eastAsia="Century Gothic" w:hAnsi="Century Gothic"/>
          <w:sz w:val="22"/>
          <w:szCs w:val="22"/>
        </w:rPr>
        <w:t xml:space="preserve">IRS Form W-9 (domestic) or W-8BEN (foreign) for the policy owner entity and/or individual</w:t>
      </w:r>
    </w:p>
    <w:p>
      <w:pPr>
        <w:pStyle w:val="ListParagraph"/>
        <w:numPr>
          <w:ilvl w:val="0"/>
          <w:numId w:val="3"/>
        </w:numPr>
        <w:spacing w:after="100"/>
      </w:pPr>
      <w:r>
        <w:rPr>
          <w:rFonts w:ascii="Century Gothic" w:cs="Century Gothic" w:eastAsia="Century Gothic" w:hAnsi="Century Gothic"/>
          <w:b/>
          <w:bCs/>
          <w:sz w:val="22"/>
          <w:szCs w:val="22"/>
        </w:rPr>
        <w:t xml:space="preserve">Notarized affidavit: </w:t>
      </w:r>
      <w:r>
        <w:rPr>
          <w:rFonts w:ascii="Century Gothic" w:cs="Century Gothic" w:eastAsia="Century Gothic" w:hAnsi="Century Gothic"/>
          <w:sz w:val="22"/>
          <w:szCs w:val="22"/>
        </w:rPr>
        <w:t xml:space="preserve">Depending on the carrier, a notarized affidavit confirming the accuracy of all submitted information</w:t>
      </w:r>
    </w:p>
    <w:p>
      <w:pPr>
        <w:spacing w:after="160" w:before="0"/>
      </w:pPr>
      <w:r>
        <w:rPr>
          <w:rFonts w:ascii="Century Gothic" w:cs="Century Gothic" w:eastAsia="Century Gothic" w:hAnsi="Century Gothic"/>
          <w:b/>
          <w:bCs/>
          <w:sz w:val="22"/>
          <w:szCs w:val="22"/>
        </w:rPr>
        <w:t xml:space="preserve">TPBC’s role: </w:t>
      </w:r>
      <w:r>
        <w:rPr>
          <w:rFonts w:ascii="Century Gothic" w:cs="Century Gothic" w:eastAsia="Century Gothic" w:hAnsi="Century Gothic"/>
          <w:sz w:val="22"/>
          <w:szCs w:val="22"/>
        </w:rPr>
        <w:t xml:space="preserve">We compile and organize all documentation during Phase 0, ensuring completeness before submission to the carrier. This front-loading of documentation prevents delays during the application and compliance review phases.</w:t>
      </w:r>
    </w:p>
    <w:p>
      <w:pPr>
        <w:pStyle w:val="Heading2"/>
      </w:pPr>
      <w:r>
        <w:rPr>
          <w:rFonts w:ascii="Century Gothic" w:cs="Century Gothic" w:eastAsia="Century Gothic" w:hAnsi="Century Gothic"/>
          <w:sz w:val="22"/>
          <w:szCs w:val="22"/>
        </w:rPr>
        <w:t xml:space="preserve">Regulatory Disclosure Requirements</w:t>
      </w:r>
    </w:p>
    <w:p>
      <w:pPr>
        <w:spacing w:after="160" w:before="0"/>
      </w:pPr>
      <w:r>
        <w:rPr>
          <w:rFonts w:ascii="Century Gothic" w:cs="Century Gothic" w:eastAsia="Century Gothic" w:hAnsi="Century Gothic"/>
          <w:sz w:val="22"/>
          <w:szCs w:val="22"/>
        </w:rPr>
        <w:t xml:space="preserve">Several regulatory disclosures must be provided to the client during the placement process:</w:t>
      </w:r>
    </w:p>
    <w:p>
      <w:pPr>
        <w:pStyle w:val="ListParagraph"/>
        <w:numPr>
          <w:ilvl w:val="0"/>
          <w:numId w:val="3"/>
        </w:numPr>
        <w:spacing w:after="100"/>
      </w:pPr>
      <w:r>
        <w:rPr>
          <w:rFonts w:ascii="Century Gothic" w:cs="Century Gothic" w:eastAsia="Century Gothic" w:hAnsi="Century Gothic"/>
          <w:b/>
          <w:bCs/>
          <w:sz w:val="22"/>
          <w:szCs w:val="22"/>
        </w:rPr>
        <w:t xml:space="preserve">Form CRS (Customer Relationship Summary): </w:t>
      </w:r>
      <w:r>
        <w:rPr>
          <w:rFonts w:ascii="Century Gothic" w:cs="Century Gothic" w:eastAsia="Century Gothic" w:hAnsi="Century Gothic"/>
          <w:sz w:val="22"/>
          <w:szCs w:val="22"/>
        </w:rPr>
        <w:t xml:space="preserve">Required by the SEC, this form explains the nature of the broker-dealer or investment advisor relationship, fees, conflicts of interest, and disciplinary history.</w:t>
      </w:r>
    </w:p>
    <w:p>
      <w:pPr>
        <w:pStyle w:val="ListParagraph"/>
        <w:numPr>
          <w:ilvl w:val="0"/>
          <w:numId w:val="3"/>
        </w:numPr>
        <w:spacing w:after="100"/>
      </w:pPr>
      <w:r>
        <w:rPr>
          <w:rFonts w:ascii="Century Gothic" w:cs="Century Gothic" w:eastAsia="Century Gothic" w:hAnsi="Century Gothic"/>
          <w:b/>
          <w:bCs/>
          <w:sz w:val="22"/>
          <w:szCs w:val="22"/>
        </w:rPr>
        <w:t xml:space="preserve">Form ADV Part II: </w:t>
      </w:r>
      <w:r>
        <w:rPr>
          <w:rFonts w:ascii="Century Gothic" w:cs="Century Gothic" w:eastAsia="Century Gothic" w:hAnsi="Century Gothic"/>
          <w:sz w:val="22"/>
          <w:szCs w:val="22"/>
        </w:rPr>
        <w:t xml:space="preserve">The investment advisor’s brochure detailing services, fees, investment strategies, conflicts, and qualifications. Must be provided to the client before or at the time of entering the advisory relationship.</w:t>
      </w:r>
    </w:p>
    <w:p>
      <w:pPr>
        <w:pStyle w:val="ListParagraph"/>
        <w:numPr>
          <w:ilvl w:val="0"/>
          <w:numId w:val="3"/>
        </w:numPr>
        <w:spacing w:after="100"/>
      </w:pPr>
      <w:r>
        <w:rPr>
          <w:rFonts w:ascii="Century Gothic" w:cs="Century Gothic" w:eastAsia="Century Gothic" w:hAnsi="Century Gothic"/>
          <w:b/>
          <w:bCs/>
          <w:sz w:val="22"/>
          <w:szCs w:val="22"/>
        </w:rPr>
        <w:t xml:space="preserve">Product Disclosure: </w:t>
      </w:r>
      <w:r>
        <w:rPr>
          <w:rFonts w:ascii="Century Gothic" w:cs="Century Gothic" w:eastAsia="Century Gothic" w:hAnsi="Century Gothic"/>
          <w:sz w:val="22"/>
          <w:szCs w:val="22"/>
        </w:rPr>
        <w:t xml:space="preserve">The carrier and/or broker-dealer provides product-specific disclosure covering the annuity’s features, risks, charges, and surrender provisions.</w:t>
      </w:r>
    </w:p>
    <w:p>
      <w:pPr>
        <w:pStyle w:val="ListParagraph"/>
        <w:numPr>
          <w:ilvl w:val="0"/>
          <w:numId w:val="3"/>
        </w:numPr>
        <w:spacing w:after="100"/>
      </w:pPr>
      <w:r>
        <w:rPr>
          <w:rFonts w:ascii="Century Gothic" w:cs="Century Gothic" w:eastAsia="Century Gothic" w:hAnsi="Century Gothic"/>
          <w:b/>
          <w:bCs/>
          <w:sz w:val="22"/>
          <w:szCs w:val="22"/>
        </w:rPr>
        <w:t xml:space="preserve">Suitability documentation: </w:t>
      </w:r>
      <w:r>
        <w:rPr>
          <w:rFonts w:ascii="Century Gothic" w:cs="Century Gothic" w:eastAsia="Century Gothic" w:hAnsi="Century Gothic"/>
          <w:sz w:val="22"/>
          <w:szCs w:val="22"/>
        </w:rPr>
        <w:t xml:space="preserve">The broker-dealer must document that the PPVA is suitable for the client based on their financial situation, investment objectives, risk tolerance, and time horizon.</w:t>
      </w:r>
    </w:p>
    <w:p>
      <w:pPr>
        <w:pStyle w:val="Heading2"/>
      </w:pPr>
      <w:r>
        <w:rPr>
          <w:rFonts w:ascii="Century Gothic" w:cs="Century Gothic" w:eastAsia="Century Gothic" w:hAnsi="Century Gothic"/>
          <w:sz w:val="22"/>
          <w:szCs w:val="22"/>
        </w:rPr>
        <w:t xml:space="preserve">Compliance Monitoring (Ongoing)</w:t>
      </w:r>
    </w:p>
    <w:p>
      <w:pPr>
        <w:spacing w:after="160" w:before="0"/>
      </w:pPr>
      <w:r>
        <w:rPr>
          <w:rFonts w:ascii="Century Gothic" w:cs="Century Gothic" w:eastAsia="Century Gothic" w:hAnsi="Century Gothic"/>
          <w:sz w:val="22"/>
          <w:szCs w:val="22"/>
        </w:rPr>
        <w:t xml:space="preserve">Compliance is not a one-time event. Once the policy is in force and the SMA is being managed, ongoing compliance responsibilities include:</w:t>
      </w:r>
    </w:p>
    <w:p>
      <w:pPr>
        <w:pStyle w:val="ListParagraph"/>
        <w:numPr>
          <w:ilvl w:val="0"/>
          <w:numId w:val="3"/>
        </w:numPr>
        <w:spacing w:after="100"/>
      </w:pPr>
      <w:r>
        <w:rPr>
          <w:rFonts w:ascii="Century Gothic" w:cs="Century Gothic" w:eastAsia="Century Gothic" w:hAnsi="Century Gothic"/>
          <w:sz w:val="22"/>
          <w:szCs w:val="22"/>
        </w:rPr>
        <w:t xml:space="preserve">Quarterly 817(h) diversification testing and documentation</w:t>
      </w:r>
    </w:p>
    <w:p>
      <w:pPr>
        <w:pStyle w:val="ListParagraph"/>
        <w:numPr>
          <w:ilvl w:val="0"/>
          <w:numId w:val="3"/>
        </w:numPr>
        <w:spacing w:after="100"/>
      </w:pPr>
      <w:r>
        <w:rPr>
          <w:rFonts w:ascii="Century Gothic" w:cs="Century Gothic" w:eastAsia="Century Gothic" w:hAnsi="Century Gothic"/>
          <w:sz w:val="22"/>
          <w:szCs w:val="22"/>
        </w:rPr>
        <w:t xml:space="preserve">Annual review of no-client-control adherence</w:t>
      </w:r>
    </w:p>
    <w:p>
      <w:pPr>
        <w:pStyle w:val="ListParagraph"/>
        <w:numPr>
          <w:ilvl w:val="0"/>
          <w:numId w:val="3"/>
        </w:numPr>
        <w:spacing w:after="100"/>
      </w:pPr>
      <w:r>
        <w:rPr>
          <w:rFonts w:ascii="Century Gothic" w:cs="Century Gothic" w:eastAsia="Century Gothic" w:hAnsi="Century Gothic"/>
          <w:sz w:val="22"/>
          <w:szCs w:val="22"/>
        </w:rPr>
        <w:t xml:space="preserve">Ongoing monitoring of investor control doctrine compliance</w:t>
      </w:r>
    </w:p>
    <w:p>
      <w:pPr>
        <w:pStyle w:val="ListParagraph"/>
        <w:numPr>
          <w:ilvl w:val="0"/>
          <w:numId w:val="3"/>
        </w:numPr>
        <w:spacing w:after="100"/>
      </w:pPr>
      <w:r>
        <w:rPr>
          <w:rFonts w:ascii="Century Gothic" w:cs="Century Gothic" w:eastAsia="Century Gothic" w:hAnsi="Century Gothic"/>
          <w:sz w:val="22"/>
          <w:szCs w:val="22"/>
        </w:rPr>
        <w:t xml:space="preserve">RIA fiduciary obligations including best interest reviews and conflict disclosure</w:t>
      </w:r>
    </w:p>
    <w:p>
      <w:pPr>
        <w:pStyle w:val="ListParagraph"/>
        <w:numPr>
          <w:ilvl w:val="0"/>
          <w:numId w:val="3"/>
        </w:numPr>
        <w:spacing w:after="100"/>
      </w:pPr>
      <w:r>
        <w:rPr>
          <w:rFonts w:ascii="Century Gothic" w:cs="Century Gothic" w:eastAsia="Century Gothic" w:hAnsi="Century Gothic"/>
          <w:sz w:val="22"/>
          <w:szCs w:val="22"/>
        </w:rPr>
        <w:t xml:space="preserve">Carrier-level policy oversight, valuation, and regulatory reporting</w:t>
      </w:r>
    </w:p>
    <w:p>
      <w:pPr>
        <w:pStyle w:val="ListParagraph"/>
        <w:numPr>
          <w:ilvl w:val="0"/>
          <w:numId w:val="3"/>
        </w:numPr>
        <w:spacing w:after="100"/>
      </w:pPr>
      <w:r>
        <w:rPr>
          <w:rFonts w:ascii="Century Gothic" w:cs="Century Gothic" w:eastAsia="Century Gothic" w:hAnsi="Century Gothic"/>
          <w:sz w:val="22"/>
          <w:szCs w:val="22"/>
        </w:rPr>
        <w:t xml:space="preserve">Compliance officer oversight across both BD and RIA activities</w:t>
      </w:r>
    </w:p>
    <w:p>
      <w:pPr>
        <w:spacing w:after="160" w:before="0"/>
      </w:pPr>
      <w:r>
        <w:rPr>
          <w:rFonts w:ascii="Century Gothic" w:cs="Century Gothic" w:eastAsia="Century Gothic" w:hAnsi="Century Gothic"/>
          <w:b/>
          <w:bCs/>
          <w:sz w:val="22"/>
          <w:szCs w:val="22"/>
        </w:rPr>
        <w:t xml:space="preserve">Key point: </w:t>
      </w:r>
      <w:r>
        <w:rPr>
          <w:rFonts w:ascii="Century Gothic" w:cs="Century Gothic" w:eastAsia="Century Gothic" w:hAnsi="Century Gothic"/>
          <w:sz w:val="22"/>
          <w:szCs w:val="22"/>
        </w:rPr>
        <w:t xml:space="preserve">the compliance framework is not TPBC’s obligation alone. It is a shared responsibility across the carrier, RIA, compliance officer, and TPBC as coordinator. Each party has defined compliance responsibilities that are documented during Phase 0 and monitored throughout the life of the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Gothic" w:cs="Century Gothic" w:eastAsia="Century Gothic" w:hAnsi="Century Gothic"/>
        <w:color w:val="4C5C68"/>
        <w:sz w:val="16"/>
        <w:szCs w:val="16"/>
      </w:rPr>
      <w:t xml:space="preserve">Confidential  |  The Pacific Bridge Companies  |  Page </w:t>
    </w:r>
    <w:r>
      <w:rPr>
        <w:rFonts w:ascii="Century Gothic" w:cs="Century Gothic" w:eastAsia="Century Gothic" w:hAnsi="Century Gothic"/>
        <w:color w:val="4C5C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3C6" w:sz="1" w:space="4"/>
      </w:pBdr>
    </w:pPr>
    <w:r>
      <w:rPr>
        <w:rFonts w:ascii="Century Gothic" w:cs="Century Gothic" w:eastAsia="Century Gothic" w:hAnsi="Century Gothic"/>
        <w:color w:val="4C5C68"/>
        <w:sz w:val="16"/>
        <w:szCs w:val="16"/>
      </w:rPr>
      <w:t xml:space="preserve">TPBC  |  Private Placement Variable Annuity  |  Master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86A3" w:sz="8" w:space="6"/>
      </w:pBdr>
      <w:spacing w:after="240" w:before="400"/>
      <w:outlineLvl w:val="0"/>
    </w:pPr>
    <w:rPr>
      <w:rFonts w:ascii="Century Gothic" w:cs="Century Gothic" w:eastAsia="Century Gothic" w:hAnsi="Century Gothic"/>
      <w:b/>
      <w:bCs/>
      <w:color w:val="003661"/>
      <w:sz w:val="40"/>
      <w:szCs w:val="40"/>
    </w:rPr>
  </w:style>
  <w:style w:type="paragraph" w:styleId="Heading2">
    <w:name w:val="Heading 2"/>
    <w:basedOn w:val="Normal"/>
    <w:next w:val="Normal"/>
    <w:qFormat/>
    <w:pPr>
      <w:spacing w:after="160" w:before="320"/>
      <w:outlineLvl w:val="1"/>
    </w:pPr>
    <w:rPr>
      <w:rFonts w:ascii="Century Gothic" w:cs="Century Gothic" w:eastAsia="Century Gothic" w:hAnsi="Century Gothic"/>
      <w:b/>
      <w:bCs/>
      <w:color w:val="0086A3"/>
      <w:sz w:val="30"/>
      <w:szCs w:val="30"/>
    </w:rPr>
  </w:style>
  <w:style w:type="paragraph" w:styleId="Heading3">
    <w:name w:val="Heading 3"/>
    <w:basedOn w:val="Normal"/>
    <w:next w:val="Normal"/>
    <w:qFormat/>
    <w:pPr>
      <w:spacing w:after="120" w:before="240"/>
      <w:outlineLvl w:val="2"/>
    </w:pPr>
    <w:rPr>
      <w:rFonts w:ascii="Century Gothic" w:cs="Century Gothic" w:eastAsia="Century Gothic" w:hAnsi="Century Gothic"/>
      <w:b/>
      <w:bCs/>
      <w:color w:val="4C5C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2026-03-19T21:34:12.633Z</dcterms:created>
  <dcterms:modified xsi:type="dcterms:W3CDTF">2026-03-19T21:34:12.634Z</dcterms:modified>
</cp:coreProperties>
</file>

<file path=docProps/custom.xml><?xml version="1.0" encoding="utf-8"?>
<Properties xmlns="http://schemas.openxmlformats.org/officeDocument/2006/custom-properties" xmlns:vt="http://schemas.openxmlformats.org/officeDocument/2006/docPropsVTypes"/>
</file>