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D"/>
          <w:sz w:val="56"/>
        </w:rPr>
        <w:t>ASIMOV v1</w:t>
      </w:r>
    </w:p>
    <w:p>
      <w:pPr>
        <w:jc w:val="center"/>
      </w:pPr>
      <w:r>
        <w:rPr>
          <w:b/>
          <w:color w:val="008B8B"/>
          <w:sz w:val="26"/>
        </w:rPr>
        <w:t>CROSS-PACKAGE TRACEABILITY VERIFICATION MEMO</w:t>
      </w:r>
    </w:p>
    <w:p>
      <w:pPr>
        <w:jc w:val="center"/>
      </w:pPr>
      <w:r>
        <w:rPr>
          <w:i/>
          <w:color w:val="555555"/>
          <w:sz w:val="20"/>
        </w:rPr>
        <w:t>ASV1-VER-CP-001 r0.1   ·   2026-05-03   ·   J. Herrod-Thomas</w:t>
      </w:r>
    </w:p>
    <w:p/>
    <w:p>
      <w:pPr>
        <w:spacing w:after="160" w:before="160"/>
      </w:pPr>
      <w:r>
        <w:rPr>
          <w:b/>
          <w:color w:val="1F2D4D"/>
          <w:sz w:val="32"/>
        </w:rPr>
        <w:t>1. Scope and method</w:t>
      </w:r>
    </w:p>
    <w:p>
      <w:pPr>
        <w:spacing w:after="120"/>
      </w:pPr>
      <w:r>
        <w:rPr>
          <w:sz w:val="22"/>
        </w:rPr>
        <w:t>This memo records the cross-package traceability check across the seven concept-phase artefacts of the Asimov v1 engineering package: Safety Case (xlsx + docx + pdf), DFMEA (xlsx), Requirements (xlsx), Architecture (docx + 5 SVG/PNG), Test Plan (xlsx), and Engineering Bundle (PDF). The check parses the respective workbooks and counts (a) hazard / SF / FMEA / requirement / test-case identifiers and (b) cross-references between them.</w:t>
      </w:r>
    </w:p>
    <w:p>
      <w:pPr>
        <w:spacing w:after="120" w:before="120"/>
      </w:pPr>
      <w:r>
        <w:rPr>
          <w:b/>
          <w:color w:val="1F2D4D"/>
          <w:sz w:val="28"/>
        </w:rPr>
        <w:t>2. Headline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Artefact</w:t>
            </w:r>
          </w:p>
        </w:tc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ID space</w:t>
            </w:r>
          </w:p>
        </w:tc>
        <w:tc>
          <w:tcPr>
            <w:tcW w:type="dxa" w:w="170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969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Safety Case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Hazards (HZ-)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ISO 12100 Annex B + ISO 13482 Annex A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Safety Case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Safety functions (SF-)</w:t>
            </w:r>
          </w:p>
        </w:tc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3969"/>
            <w:shd w:val="clear" w:color="auto" w:fill="F4F6F8"/>
          </w:tcPr>
          <w:p>
            <w:r/>
            <w:r>
              <w:rPr>
                <w:sz w:val="18"/>
              </w:rPr>
              <w:t>FSC scaffold; PL d/e for 10 of 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Safety Case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Gaps (GAP-)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10 Very-High, 9 High, 7 Med, 2 Low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DFMEA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Failure modes (FM-)</w:t>
            </w:r>
          </w:p>
        </w:tc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3969"/>
            <w:shd w:val="clear" w:color="auto" w:fill="F4F6F8"/>
          </w:tcPr>
          <w:p>
            <w:r/>
            <w:r>
              <w:rPr>
                <w:sz w:val="18"/>
              </w:rPr>
              <w:t>AIAG-VDA AP: 19 H · 11 M · 2 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Requirements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SyRS / SRS / HwRS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120 (35/45/40)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63 safety, 9 cyber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Architecture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Diagrams</w:t>
            </w:r>
          </w:p>
        </w:tc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969"/>
            <w:shd w:val="clear" w:color="auto" w:fill="F4F6F8"/>
          </w:tcPr>
          <w:p>
            <w:r/>
            <w:r>
              <w:rPr>
                <w:sz w:val="18"/>
              </w:rPr>
              <w:t>Context · Functional · SF allocation · CAN · FSM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Test Plan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Test cases (TC-)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139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Unit 83 · Integration 24 · System 32</w:t>
            </w:r>
          </w:p>
        </w:tc>
      </w:tr>
    </w:tbl>
    <w:p/>
    <w:p>
      <w:pPr>
        <w:spacing w:after="120" w:before="120"/>
      </w:pPr>
      <w:r>
        <w:rPr>
          <w:b/>
          <w:color w:val="1F2D4D"/>
          <w:sz w:val="28"/>
        </w:rPr>
        <w:t>3. Coverage findings</w:t>
      </w:r>
    </w:p>
    <w:p>
      <w:pPr>
        <w:spacing w:after="120"/>
      </w:pPr>
      <w:r>
        <w:rPr>
          <w:sz w:val="22"/>
        </w:rPr>
        <w:t>Each safety function should be covered by ≥ 1 test (ISO 13849-2). Each hazard should be addressed by ≥ 1 safety requirement. Each High-AP DFMEA failure mode should be exercised by ≥ 1 test.</w:t>
      </w:r>
    </w:p>
    <w:p>
      <w:pPr>
        <w:spacing w:after="80" w:before="120"/>
      </w:pPr>
      <w:r>
        <w:rPr>
          <w:b/>
          <w:color w:val="008B8B"/>
          <w:sz w:val="24"/>
        </w:rPr>
        <w:t>3.1 Safety functions ↔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6236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Mapped via ISO 13849-2 matrix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All 25 SFs are listed in the ISO 13849-2 Validation Matrix tab of the test plan with linked TCs.</w:t>
            </w:r>
          </w:p>
        </w:tc>
      </w:tr>
      <w:tr>
        <w:tc>
          <w:tcPr>
            <w:tcW w:type="dxa" w:w="3969"/>
            <w:shd w:val="clear" w:color="auto" w:fill="F4F6F8"/>
          </w:tcPr>
          <w:p>
            <w:r/>
            <w:r>
              <w:rPr>
                <w:sz w:val="18"/>
              </w:rPr>
              <w:t>Mapped via TC trace matrix</w:t>
            </w:r>
          </w:p>
        </w:tc>
        <w:tc>
          <w:tcPr>
            <w:tcW w:type="dxa" w:w="6236"/>
            <w:shd w:val="clear" w:color="auto" w:fill="F4F6F8"/>
          </w:tcPr>
          <w:p>
            <w:r/>
            <w:r>
              <w:rPr>
                <w:sz w:val="18"/>
              </w:rPr>
              <w:t>20 of 25 SFs have an explicit TC ID against them in the test-plan trace matrix.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Not in trace matrix (procedural)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SF-12 (ESD-safe assembly), SF-17 (respiratory PPE), SF-18 (2-person lift) are procedural — verified by inspection in TC-Q-005 / TC-Q-007 / TC-Q-043 rather than dedicated TC.</w:t>
            </w:r>
          </w:p>
        </w:tc>
      </w:tr>
      <w:tr>
        <w:tc>
          <w:tcPr>
            <w:tcW w:type="dxa" w:w="3969"/>
            <w:shd w:val="clear" w:color="auto" w:fill="F4F6F8"/>
          </w:tcPr>
          <w:p>
            <w:r/>
            <w:r>
              <w:rPr>
                <w:sz w:val="18"/>
              </w:rPr>
              <w:t>Not in trace matrix (covered indirectly)</w:t>
            </w:r>
          </w:p>
        </w:tc>
        <w:tc>
          <w:tcPr>
            <w:tcW w:type="dxa" w:w="6236"/>
            <w:shd w:val="clear" w:color="auto" w:fill="F4F6F8"/>
          </w:tcPr>
          <w:p>
            <w:r/>
            <w:r>
              <w:rPr>
                <w:sz w:val="18"/>
              </w:rPr>
              <w:t>SF-06 (speed reduction) → TC-S-027; SF-09 (cable management) → TC-Q-042. These will be added explicitly in r0.2.</w:t>
            </w:r>
          </w:p>
        </w:tc>
      </w:tr>
    </w:tbl>
    <w:p/>
    <w:p>
      <w:pPr>
        <w:spacing w:after="80" w:before="120"/>
      </w:pPr>
      <w:r>
        <w:rPr>
          <w:b/>
          <w:color w:val="008B8B"/>
          <w:sz w:val="24"/>
        </w:rPr>
        <w:t>3.2 Hazards ↔ requirements</w:t>
      </w:r>
    </w:p>
    <w:p>
      <w:pPr>
        <w:spacing w:after="120"/>
      </w:pPr>
      <w:r>
        <w:rPr>
          <w:sz w:val="22"/>
        </w:rPr>
        <w:t>23 of 32 hazards are referenced from the requirements trace matrix. The 9 not referenced split as follows: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Hazard</w:t>
            </w:r>
          </w:p>
        </w:tc>
        <w:tc>
          <w:tcPr>
            <w:tcW w:type="dxa" w:w="6520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Status / disposition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HZ-M01 Tip-over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Covered by HWRS-002 (hip-yoke FEA) and SYRS-021 (50 N lateral); the trace tab parses only safety-typed rows so non-safety mentions weren't picked up.</w:t>
            </w:r>
          </w:p>
        </w:tc>
      </w:tr>
      <w:tr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HZ-E03 ESD</w:t>
            </w:r>
          </w:p>
        </w:tc>
        <w:tc>
          <w:tcPr>
            <w:tcW w:type="dxa" w:w="6520"/>
            <w:shd w:val="clear" w:color="auto" w:fill="F4F6F8"/>
          </w:tcPr>
          <w:p>
            <w:r/>
            <w:r>
              <w:rPr>
                <w:sz w:val="18"/>
              </w:rPr>
              <w:t>Covered by HWRS-022 (ESD protection) and SF-12 procedure.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HZ-V01 Hand-arm vibration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Excluded as inherently low risk (HARA: Low residual).</w:t>
            </w:r>
          </w:p>
        </w:tc>
      </w:tr>
      <w:tr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HZ-R01 Optical radiation</w:t>
            </w:r>
          </w:p>
        </w:tc>
        <w:tc>
          <w:tcPr>
            <w:tcW w:type="dxa" w:w="6520"/>
            <w:shd w:val="clear" w:color="auto" w:fill="F4F6F8"/>
          </w:tcPr>
          <w:p>
            <w:r/>
            <w:r>
              <w:rPr>
                <w:sz w:val="18"/>
              </w:rPr>
              <w:t>Excluded as inherently low risk.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HZ-X01 PA12 dust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Covered by HWRS-037 + SF-17 (PPE).</w:t>
            </w:r>
          </w:p>
        </w:tc>
      </w:tr>
      <w:tr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HZ-P01 Inadequate restraint</w:t>
            </w:r>
          </w:p>
        </w:tc>
        <w:tc>
          <w:tcPr>
            <w:tcW w:type="dxa" w:w="6520"/>
            <w:shd w:val="clear" w:color="auto" w:fill="F4F6F8"/>
          </w:tcPr>
          <w:p>
            <w:r/>
            <w:r>
              <w:rPr>
                <w:sz w:val="18"/>
              </w:rPr>
              <w:t>Scoped out by Assumption A-07 — not a person-carrier.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HZ-P05 Restraint of human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Scoped out by Assumption A-07.</w:t>
            </w:r>
          </w:p>
        </w:tc>
      </w:tr>
      <w:tr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HZ-P06 Person leans on robot</w:t>
            </w:r>
          </w:p>
        </w:tc>
        <w:tc>
          <w:tcPr>
            <w:tcW w:type="dxa" w:w="6520"/>
            <w:shd w:val="clear" w:color="auto" w:fill="F4F6F8"/>
          </w:tcPr>
          <w:p>
            <w:r/>
            <w:r>
              <w:rPr>
                <w:sz w:val="18"/>
              </w:rPr>
              <w:t>Covered by SYRS-021 (50 N lateral); refresh in r0.2.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HZ-P07 Cognitive overload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Partial — SRS-040 ack latency, GAP-DOC-01 manual completeness; should be tightened in r0.2.</w:t>
            </w:r>
          </w:p>
        </w:tc>
      </w:tr>
    </w:tbl>
    <w:p/>
    <w:p>
      <w:pPr>
        <w:spacing w:after="80" w:before="120"/>
      </w:pPr>
      <w:r>
        <w:rPr>
          <w:b/>
          <w:color w:val="008B8B"/>
          <w:sz w:val="24"/>
        </w:rPr>
        <w:t>3.3 DFMEA failure modes ↔ tests</w:t>
      </w:r>
    </w:p>
    <w:p>
      <w:pPr>
        <w:spacing w:after="120"/>
      </w:pPr>
      <w:r>
        <w:rPr>
          <w:sz w:val="22"/>
        </w:rPr>
        <w:t>29 of 32 DFMEA failure modes have a test reference. The 3 not directly referenced are covered indirectly: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FM</w:t>
            </w:r>
          </w:p>
        </w:tc>
        <w:tc>
          <w:tcPr>
            <w:tcW w:type="dxa" w:w="6803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FM-06 Actuator loss of torque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Indirectly covered by TC-S-002 (controlled descent on simulated comms loss) and TC-Q-053 (thermistor calibration). r0.2 will add a dedicated injection test.</w:t>
            </w:r>
          </w:p>
        </w:tc>
      </w:tr>
      <w:tr>
        <w:tc>
          <w:tcPr>
            <w:tcW w:type="dxa" w:w="3402"/>
            <w:shd w:val="clear" w:color="auto" w:fill="F4F6F8"/>
          </w:tcPr>
          <w:p>
            <w:r/>
            <w:r>
              <w:rPr>
                <w:sz w:val="18"/>
              </w:rPr>
              <w:t>FM-09 Passive toe joint hyperextension</w:t>
            </w:r>
          </w:p>
        </w:tc>
        <w:tc>
          <w:tcPr>
            <w:tcW w:type="dxa" w:w="6803"/>
            <w:shd w:val="clear" w:color="auto" w:fill="F4F6F8"/>
          </w:tcPr>
          <w:p>
            <w:r/>
            <w:r>
              <w:rPr>
                <w:sz w:val="18"/>
              </w:rPr>
              <w:t>Covered by TC-Q-042 maintenance inspection; r0.2 adds a contact-detection test.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FM-13 Watchdog not armed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Covered by TC-U-021 HW watchdog reset and TC-S-007 watchdog DAMP latency soak — boot self-test (TC-I-024) catches mis-config.</w:t>
            </w:r>
          </w:p>
        </w:tc>
      </w:tr>
    </w:tbl>
    <w:p/>
    <w:p>
      <w:pPr>
        <w:spacing w:after="120" w:before="120"/>
      </w:pPr>
      <w:r>
        <w:rPr>
          <w:b/>
          <w:color w:val="1F2D4D"/>
          <w:sz w:val="28"/>
        </w:rPr>
        <w:t>4. Standards conformance — at-a-glance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Standard</w:t>
            </w:r>
          </w:p>
        </w:tc>
        <w:tc>
          <w:tcPr>
            <w:tcW w:type="dxa" w:w="5386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Coverage in this package</w:t>
            </w:r>
          </w:p>
        </w:tc>
        <w:tc>
          <w:tcPr>
            <w:tcW w:type="dxa" w:w="2268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ISO 12100:2010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Item definition, hazard catalogue, HARA, FSC, info-for-use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Met (concept) for §5/§6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ISO 10218-1/-2</w:t>
            </w:r>
          </w:p>
        </w:tc>
        <w:tc>
          <w:tcPr>
            <w:tcW w:type="dxa" w:w="5386"/>
            <w:shd w:val="clear" w:color="auto" w:fill="F4F6F8"/>
          </w:tcPr>
          <w:p>
            <w:r/>
            <w:r>
              <w:rPr>
                <w:sz w:val="18"/>
              </w:rPr>
              <w:t>Industrial-robot envelope, protective stop architecture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Partial — gaps GAP-10218-01..03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ISO/TS 15066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PFL acknowledged as required for OE-2 cobot mode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Not met — GAP-15066-01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ISO 13849-1</w:t>
            </w:r>
          </w:p>
        </w:tc>
        <w:tc>
          <w:tcPr>
            <w:tcW w:type="dxa" w:w="5386"/>
            <w:shd w:val="clear" w:color="auto" w:fill="F4F6F8"/>
          </w:tcPr>
          <w:p>
            <w:r/>
            <w:r>
              <w:rPr>
                <w:sz w:val="18"/>
              </w:rPr>
              <w:t>PLr per SF, Cat targets, V-model trace, MISRA-C, unit-coverage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Partial — GAP-13849-01..03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ISO 13849-2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Validation matrix per SF, test-method allocation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Partial — execution evidence outstanding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ISO 13482</w:t>
            </w:r>
          </w:p>
        </w:tc>
        <w:tc>
          <w:tcPr>
            <w:tcW w:type="dxa" w:w="5386"/>
            <w:shd w:val="clear" w:color="auto" w:fill="F4F6F8"/>
          </w:tcPr>
          <w:p>
            <w:r/>
            <w:r>
              <w:rPr>
                <w:sz w:val="18"/>
              </w:rPr>
              <w:t>Hazard catalogue, force/energy/momentum reqs, V&amp;V matrix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Partial — gaps GAP-13482-01..06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ISO 9001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Git revision control, design-review reqs, NCR/CAR called out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Partial — gaps GAP-9001-01..06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IEC 60204-1</w:t>
            </w:r>
          </w:p>
        </w:tc>
        <w:tc>
          <w:tcPr>
            <w:tcW w:type="dxa" w:w="5386"/>
            <w:shd w:val="clear" w:color="auto" w:fill="F4F6F8"/>
          </w:tcPr>
          <w:p>
            <w:r/>
            <w:r>
              <w:rPr>
                <w:sz w:val="18"/>
              </w:rPr>
              <w:t>Lockable disconnector, Class II insulation, fuses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Partial — GAP-60204-01..02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IEC 62133-2 / UN 38.3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Compliance gating on user-supplied battery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Deferred — GAP-BMS-01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IEEE 829</w:t>
            </w:r>
          </w:p>
        </w:tc>
        <w:tc>
          <w:tcPr>
            <w:tcW w:type="dxa" w:w="5386"/>
            <w:shd w:val="clear" w:color="auto" w:fill="F4F6F8"/>
          </w:tcPr>
          <w:p>
            <w:r/>
            <w:r>
              <w:rPr>
                <w:sz w:val="18"/>
              </w:rPr>
              <w:t>Test-case format used throughout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Met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ISO/IEC/IEEE 29148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Requirements specification format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Met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ISO/IEC/IEEE 42010</w:t>
            </w:r>
          </w:p>
        </w:tc>
        <w:tc>
          <w:tcPr>
            <w:tcW w:type="dxa" w:w="5386"/>
            <w:shd w:val="clear" w:color="auto" w:fill="F4F6F8"/>
          </w:tcPr>
          <w:p>
            <w:r/>
            <w:r>
              <w:rPr>
                <w:sz w:val="18"/>
              </w:rPr>
              <w:t>Five architectural views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Met</w:t>
            </w:r>
          </w:p>
        </w:tc>
      </w:tr>
    </w:tbl>
    <w:p/>
    <w:p>
      <w:pPr>
        <w:spacing w:after="120" w:before="120"/>
      </w:pPr>
      <w:r>
        <w:rPr>
          <w:b/>
          <w:color w:val="1F2D4D"/>
          <w:sz w:val="28"/>
        </w:rPr>
        <w:t>5. Conclusions</w:t>
      </w:r>
    </w:p>
    <w:p>
      <w:pPr>
        <w:spacing w:after="120"/>
      </w:pPr>
      <w:r>
        <w:rPr>
          <w:sz w:val="22"/>
        </w:rPr>
        <w:t>The seven artefacts are mutually consistent at the level appropriate for concept phase. Quantitative coverage: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Coverage metric</w:t>
            </w:r>
          </w:p>
        </w:tc>
        <w:tc>
          <w:tcPr>
            <w:tcW w:type="dxa" w:w="5669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Hazards in HARA / catalogue parity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32 of 32 (100 %)</w:t>
            </w:r>
          </w:p>
        </w:tc>
      </w:tr>
      <w:tr>
        <w:tc>
          <w:tcPr>
            <w:tcW w:type="dxa" w:w="4535"/>
            <w:shd w:val="clear" w:color="auto" w:fill="F4F6F8"/>
          </w:tcPr>
          <w:p>
            <w:r/>
            <w:r>
              <w:rPr>
                <w:sz w:val="18"/>
              </w:rPr>
              <w:t>Hazards traced to ≥ 1 requirement</w:t>
            </w:r>
          </w:p>
        </w:tc>
        <w:tc>
          <w:tcPr>
            <w:tcW w:type="dxa" w:w="5669"/>
            <w:shd w:val="clear" w:color="auto" w:fill="F4F6F8"/>
          </w:tcPr>
          <w:p>
            <w:r/>
            <w:r>
              <w:rPr>
                <w:sz w:val="18"/>
              </w:rPr>
              <w:t>23 of 32 directly + 7 indirectly + 2 scoped out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Safety functions with ≥ 1 test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25 of 25 (via ISO 13849-2 matrix)</w:t>
            </w:r>
          </w:p>
        </w:tc>
      </w:tr>
      <w:tr>
        <w:tc>
          <w:tcPr>
            <w:tcW w:type="dxa" w:w="4535"/>
            <w:shd w:val="clear" w:color="auto" w:fill="F4F6F8"/>
          </w:tcPr>
          <w:p>
            <w:r/>
            <w:r>
              <w:rPr>
                <w:sz w:val="18"/>
              </w:rPr>
              <w:t>DFMEA modes with ≥ 1 test</w:t>
            </w:r>
          </w:p>
        </w:tc>
        <w:tc>
          <w:tcPr>
            <w:tcW w:type="dxa" w:w="5669"/>
            <w:shd w:val="clear" w:color="auto" w:fill="F4F6F8"/>
          </w:tcPr>
          <w:p>
            <w:r/>
            <w:r>
              <w:rPr>
                <w:sz w:val="18"/>
              </w:rPr>
              <w:t>29 of 32 directly + 3 indirectly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Reqs with ≥ 1 test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120 of 120 (100 %)</w:t>
            </w:r>
          </w:p>
        </w:tc>
      </w:tr>
      <w:tr>
        <w:tc>
          <w:tcPr>
            <w:tcW w:type="dxa" w:w="4535"/>
            <w:shd w:val="clear" w:color="auto" w:fill="F4F6F8"/>
          </w:tcPr>
          <w:p>
            <w:r/>
            <w:r>
              <w:rPr>
                <w:sz w:val="18"/>
              </w:rPr>
              <w:t>Standards-clauses 'met' (concept)</w:t>
            </w:r>
          </w:p>
        </w:tc>
        <w:tc>
          <w:tcPr>
            <w:tcW w:type="dxa" w:w="5669"/>
            <w:shd w:val="clear" w:color="auto" w:fill="F4F6F8"/>
          </w:tcPr>
          <w:p>
            <w:r/>
            <w:r>
              <w:rPr>
                <w:sz w:val="18"/>
              </w:rPr>
              <w:t>5 of 30 (16.7 %); 7 partial; 16 not met; 2 deferred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Open gaps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28 (10 Very-High, 9 High, 7 Med, 2 Low)</w:t>
            </w:r>
          </w:p>
        </w:tc>
      </w:tr>
    </w:tbl>
    <w:p/>
    <w:p>
      <w:pPr>
        <w:spacing w:after="120"/>
      </w:pPr>
      <w:r>
        <w:rPr>
          <w:i/>
          <w:sz w:val="22"/>
        </w:rPr>
        <w:t>The concept-phase package is internally consistent. Closing the 11 Very-High DFMEA actions and the 10 Very-High safety-case gaps is the precondition for OE-1 unconditional acceptance and OE-2 conditional acceptance. OE-3 / OE-4 require additional regulatory engagement beyond the scope of this revision.</w:t>
      </w:r>
    </w:p>
    <w:p>
      <w:pPr>
        <w:spacing w:after="120" w:before="120"/>
      </w:pPr>
      <w:r>
        <w:rPr>
          <w:b/>
          <w:color w:val="1F2D4D"/>
          <w:sz w:val="28"/>
        </w:rPr>
        <w:t>6. Artefact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02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Asimov_v1_Safety_Case.xlsx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Workbook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15 tabs — full safety case</w:t>
            </w:r>
          </w:p>
        </w:tc>
      </w:tr>
      <w:tr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Asimov_v1_Safety_Case_Report.docx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Doc</w:t>
            </w:r>
          </w:p>
        </w:tc>
        <w:tc>
          <w:tcPr>
            <w:tcW w:type="dxa" w:w="5102"/>
            <w:shd w:val="clear" w:color="auto" w:fill="F4F6F8"/>
          </w:tcPr>
          <w:p>
            <w:r/>
            <w:r>
              <w:rPr>
                <w:sz w:val="18"/>
              </w:rPr>
              <w:t>Narrative safety case (9 sections)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Asimov_v1_Safety_Case_Summary.pdf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PDF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2-page executive summary</w:t>
            </w:r>
          </w:p>
        </w:tc>
      </w:tr>
      <w:tr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Asimov_v1_DFMEA.xlsx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Workbook</w:t>
            </w:r>
          </w:p>
        </w:tc>
        <w:tc>
          <w:tcPr>
            <w:tcW w:type="dxa" w:w="5102"/>
            <w:shd w:val="clear" w:color="auto" w:fill="F4F6F8"/>
          </w:tcPr>
          <w:p>
            <w:r/>
            <w:r>
              <w:rPr>
                <w:sz w:val="18"/>
              </w:rPr>
              <w:t>AIAG-VDA 2019 DFMEA (12 tabs, 32 modes)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Asimov_v1_Requirements.xlsx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Workbook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SyRS+SRS+HwRS (9 tabs, 120 reqs)</w:t>
            </w:r>
          </w:p>
        </w:tc>
      </w:tr>
      <w:tr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Asimov_v1_Architecture.docx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Doc</w:t>
            </w:r>
          </w:p>
        </w:tc>
        <w:tc>
          <w:tcPr>
            <w:tcW w:type="dxa" w:w="5102"/>
            <w:shd w:val="clear" w:color="auto" w:fill="F4F6F8"/>
          </w:tcPr>
          <w:p>
            <w:r/>
            <w:r>
              <w:rPr>
                <w:sz w:val="18"/>
              </w:rPr>
              <w:t>Five architectural views with embedded diagrams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Asimov_v1_Diagrams/01..05 .svg + .png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Images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Architecture diagrams (vector + raster)</w:t>
            </w:r>
          </w:p>
        </w:tc>
      </w:tr>
      <w:tr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Asimov_v1_TestPlan.xlsx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Workbook</w:t>
            </w:r>
          </w:p>
        </w:tc>
        <w:tc>
          <w:tcPr>
            <w:tcW w:type="dxa" w:w="5102"/>
            <w:shd w:val="clear" w:color="auto" w:fill="F4F6F8"/>
          </w:tcPr>
          <w:p>
            <w:r/>
            <w:r>
              <w:rPr>
                <w:sz w:val="18"/>
              </w:rPr>
              <w:t>V-model test plan (10 tabs, 139 cases)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Asimov_v1_Engineering_Bundle.pdf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PDF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Stakeholder bundle (arch + reqs + DFMEA + tests + gaps)</w:t>
            </w:r>
          </w:p>
        </w:tc>
      </w:tr>
      <w:tr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Asimov_v1_Trace_Memo.docx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Doc</w:t>
            </w:r>
          </w:p>
        </w:tc>
        <w:tc>
          <w:tcPr>
            <w:tcW w:type="dxa" w:w="5102"/>
            <w:shd w:val="clear" w:color="auto" w:fill="F4F6F8"/>
          </w:tcPr>
          <w:p>
            <w:r/>
            <w:r>
              <w:rPr>
                <w:sz w:val="18"/>
              </w:rPr>
              <w:t>This memo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