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D4D"/>
          <w:sz w:val="72"/>
        </w:rPr>
        <w:t>ASIMOV v1</w:t>
      </w:r>
    </w:p>
    <w:p>
      <w:pPr>
        <w:jc w:val="center"/>
      </w:pPr>
      <w:r>
        <w:rPr>
          <w:b/>
          <w:color w:val="008B8B"/>
          <w:sz w:val="36"/>
        </w:rPr>
        <w:t>PRELIMINARY SAFETY CASE — CONCEPT PHASE</w:t>
      </w:r>
    </w:p>
    <w:p>
      <w:pPr>
        <w:jc w:val="center"/>
      </w:pPr>
      <w:r>
        <w:rPr>
          <w:i/>
          <w:sz w:val="22"/>
        </w:rPr>
        <w:t>Open-Source Humanoid Robot · 1.2 m · 35 kg · 25 actuated DOF</w:t>
      </w:r>
    </w:p>
    <w:p/>
    <w:p/>
    <w:p>
      <w:pPr>
        <w:spacing w:before="280" w:after="80"/>
      </w:pPr>
      <w:r>
        <w:rPr>
          <w:b/>
          <w:color w:val="1F2D4D"/>
          <w:sz w:val="28"/>
        </w:rPr>
        <w:t>Standards Framework Applied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Reference</w:t>
            </w:r>
          </w:p>
        </w:tc>
        <w:tc>
          <w:tcPr>
            <w:tcW w:type="dxa" w:w="7370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Coverage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ISO 12100:2010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Safety of machinery — risk assessment and risk reduction (master)</w:t>
            </w:r>
          </w:p>
        </w:tc>
      </w:tr>
      <w:tr>
        <w:tc>
          <w:tcPr>
            <w:tcW w:type="dxa" w:w="2551"/>
            <w:shd w:val="clear" w:color="auto" w:fill="F4F6F8"/>
          </w:tcPr>
          <w:p>
            <w:r/>
            <w:r>
              <w:rPr>
                <w:sz w:val="18"/>
              </w:rPr>
              <w:t>ISO 10218-1/-2:2011</w:t>
            </w:r>
          </w:p>
        </w:tc>
        <w:tc>
          <w:tcPr>
            <w:tcW w:type="dxa" w:w="7370"/>
            <w:shd w:val="clear" w:color="auto" w:fill="F4F6F8"/>
          </w:tcPr>
          <w:p>
            <w:r/>
            <w:r>
              <w:rPr>
                <w:sz w:val="18"/>
              </w:rPr>
              <w:t>Industrial robot safety (Part 1 robot, Part 2 system &amp; integration)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ISO/TS 15066:2016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Collaborative robot — power-and-force-limiting (PFL) data</w:t>
            </w:r>
          </w:p>
        </w:tc>
      </w:tr>
      <w:tr>
        <w:tc>
          <w:tcPr>
            <w:tcW w:type="dxa" w:w="2551"/>
            <w:shd w:val="clear" w:color="auto" w:fill="F4F6F8"/>
          </w:tcPr>
          <w:p>
            <w:r/>
            <w:r>
              <w:rPr>
                <w:sz w:val="18"/>
              </w:rPr>
              <w:t>ISO 13849-1:2023</w:t>
            </w:r>
          </w:p>
        </w:tc>
        <w:tc>
          <w:tcPr>
            <w:tcW w:type="dxa" w:w="7370"/>
            <w:shd w:val="clear" w:color="auto" w:fill="F4F6F8"/>
          </w:tcPr>
          <w:p>
            <w:r/>
            <w:r>
              <w:rPr>
                <w:sz w:val="18"/>
              </w:rPr>
              <w:t>Safety-related parts of control systems — PL determination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ISO 13849-2:2012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Validation</w:t>
            </w:r>
          </w:p>
        </w:tc>
      </w:tr>
      <w:tr>
        <w:tc>
          <w:tcPr>
            <w:tcW w:type="dxa" w:w="2551"/>
            <w:shd w:val="clear" w:color="auto" w:fill="F4F6F8"/>
          </w:tcPr>
          <w:p>
            <w:r/>
            <w:r>
              <w:rPr>
                <w:sz w:val="18"/>
              </w:rPr>
              <w:t>ISO 13482:2014</w:t>
            </w:r>
          </w:p>
        </w:tc>
        <w:tc>
          <w:tcPr>
            <w:tcW w:type="dxa" w:w="7370"/>
            <w:shd w:val="clear" w:color="auto" w:fill="F4F6F8"/>
          </w:tcPr>
          <w:p>
            <w:r/>
            <w:r>
              <w:rPr>
                <w:sz w:val="18"/>
              </w:rPr>
              <w:t>Personal-care robot — Type 1 mobile servant hazard catalogue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ISO 9001:2015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Quality management — design control, NCR, CAR</w:t>
            </w:r>
          </w:p>
        </w:tc>
      </w:tr>
      <w:tr>
        <w:tc>
          <w:tcPr>
            <w:tcW w:type="dxa" w:w="2551"/>
            <w:shd w:val="clear" w:color="auto" w:fill="F4F6F8"/>
          </w:tcPr>
          <w:p>
            <w:r/>
            <w:r>
              <w:rPr>
                <w:sz w:val="18"/>
              </w:rPr>
              <w:t>IEC 60204-1:2018</w:t>
            </w:r>
          </w:p>
        </w:tc>
        <w:tc>
          <w:tcPr>
            <w:tcW w:type="dxa" w:w="7370"/>
            <w:shd w:val="clear" w:color="auto" w:fill="F4F6F8"/>
          </w:tcPr>
          <w:p>
            <w:r/>
            <w:r>
              <w:rPr>
                <w:sz w:val="18"/>
              </w:rPr>
              <w:t>Electrical equipment of machines (referenced)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IEC 62133-2:2017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Li-ion battery safety (referenced)</w:t>
            </w:r>
          </w:p>
        </w:tc>
      </w:tr>
    </w:tbl>
    <w:p/>
    <w:p>
      <w:pPr>
        <w:spacing w:before="280" w:after="80"/>
      </w:pPr>
      <w:r>
        <w:rPr>
          <w:b/>
          <w:color w:val="1F2D4D"/>
          <w:sz w:val="28"/>
        </w:rPr>
        <w:t>Document Control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7370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Document ID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ASV1-SC-CP-001</w:t>
            </w:r>
          </w:p>
        </w:tc>
      </w:tr>
      <w:tr>
        <w:tc>
          <w:tcPr>
            <w:tcW w:type="dxa" w:w="2551"/>
            <w:shd w:val="clear" w:color="auto" w:fill="F4F6F8"/>
          </w:tcPr>
          <w:p>
            <w:r/>
            <w:r>
              <w:rPr>
                <w:sz w:val="18"/>
              </w:rPr>
              <w:t>Revision</w:t>
            </w:r>
          </w:p>
        </w:tc>
        <w:tc>
          <w:tcPr>
            <w:tcW w:type="dxa" w:w="7370"/>
            <w:shd w:val="clear" w:color="auto" w:fill="F4F6F8"/>
          </w:tcPr>
          <w:p>
            <w:r/>
            <w:r>
              <w:rPr>
                <w:sz w:val="18"/>
              </w:rPr>
              <w:t>0.1 (draft)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Issue date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2026-05-03</w:t>
            </w:r>
          </w:p>
        </w:tc>
      </w:tr>
      <w:tr>
        <w:tc>
          <w:tcPr>
            <w:tcW w:type="dxa" w:w="2551"/>
            <w:shd w:val="clear" w:color="auto" w:fill="F4F6F8"/>
          </w:tcPr>
          <w:p>
            <w:r/>
            <w:r>
              <w:rPr>
                <w:sz w:val="18"/>
              </w:rPr>
              <w:t>Author</w:t>
            </w:r>
          </w:p>
        </w:tc>
        <w:tc>
          <w:tcPr>
            <w:tcW w:type="dxa" w:w="7370"/>
            <w:shd w:val="clear" w:color="auto" w:fill="F4F6F8"/>
          </w:tcPr>
          <w:p>
            <w:r/>
            <w:r>
              <w:rPr>
                <w:sz w:val="18"/>
              </w:rPr>
              <w:t>J. Herrod-Thomas (forker / assessor)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Item under assessment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Asimov v1 — fork at github.com/jherrodthomas/asimov-v1</w:t>
            </w:r>
          </w:p>
        </w:tc>
      </w:tr>
      <w:tr>
        <w:tc>
          <w:tcPr>
            <w:tcW w:type="dxa" w:w="2551"/>
            <w:shd w:val="clear" w:color="auto" w:fill="F4F6F8"/>
          </w:tcPr>
          <w:p>
            <w:r/>
            <w:r>
              <w:rPr>
                <w:sz w:val="18"/>
              </w:rPr>
              <w:t>Hardware licence</w:t>
            </w:r>
          </w:p>
        </w:tc>
        <w:tc>
          <w:tcPr>
            <w:tcW w:type="dxa" w:w="7370"/>
            <w:shd w:val="clear" w:color="auto" w:fill="F4F6F8"/>
          </w:tcPr>
          <w:p>
            <w:r/>
            <w:r>
              <w:rPr>
                <w:sz w:val="18"/>
              </w:rPr>
              <w:t>CERN-OHL-S-2.0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Software licence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GPL-2.0</w:t>
            </w:r>
          </w:p>
        </w:tc>
      </w:tr>
      <w:tr>
        <w:tc>
          <w:tcPr>
            <w:tcW w:type="dxa" w:w="2551"/>
            <w:shd w:val="clear" w:color="auto" w:fill="F4F6F8"/>
          </w:tcPr>
          <w:p>
            <w:r/>
            <w:r>
              <w:rPr>
                <w:sz w:val="18"/>
              </w:rPr>
              <w:t>Confidentiality</w:t>
            </w:r>
          </w:p>
        </w:tc>
        <w:tc>
          <w:tcPr>
            <w:tcW w:type="dxa" w:w="7370"/>
            <w:shd w:val="clear" w:color="auto" w:fill="F4F6F8"/>
          </w:tcPr>
          <w:p>
            <w:r/>
            <w:r>
              <w:rPr>
                <w:sz w:val="18"/>
              </w:rPr>
              <w:t>Public — distributed under reciprocity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4E5"/>
          </w:tcPr>
          <w:p>
            <w:r>
              <w:rPr>
                <w:b/>
                <w:color w:val="C77800"/>
                <w:sz w:val="22"/>
              </w:rPr>
              <w:t>Important — preliminary safety case</w:t>
            </w:r>
          </w:p>
          <w:p>
            <w:r>
              <w:rPr>
                <w:sz w:val="20"/>
              </w:rPr>
              <w:t>This document does NOT certify Asimov v1 as safe to deploy. The upstream release publishes mechanical CAD, electrical schematics, and a MuJoCo model only — no HARA, FMEA, FMEDA, controller code, E-Stop validation, or battery management specification is published. The argument structure is a SCAFFOLD populated with concept-level evidence; every leaf claim links to the Gap Register in the companion workbook. Deployment beyond a supervised, tethered laboratory setting requires closure of high-severity gaps before any safety conclusion can be drawn.</w:t>
            </w:r>
          </w:p>
        </w:tc>
      </w:tr>
    </w:tbl>
    <w:p/>
    <w:p>
      <w:r>
        <w:br w:type="page"/>
      </w:r>
    </w:p>
    <w:p>
      <w:pPr>
        <w:spacing w:after="160"/>
      </w:pPr>
      <w:r>
        <w:rPr>
          <w:b/>
          <w:color w:val="1F2D4D"/>
          <w:sz w:val="40"/>
        </w:rPr>
        <w:t>1. Executive Summary</w:t>
      </w:r>
    </w:p>
    <w:p>
      <w:pPr>
        <w:spacing w:after="120"/>
      </w:pPr>
      <w:r>
        <w:rPr>
          <w:sz w:val="22"/>
        </w:rPr>
        <w:t>Asimov v1 is an open-source bipedal humanoid robot developed by Asimov Inc. (Menlo). This safety case applies the ISO 12100 master risk-assessment method, augmented by the control-system performance-level (PL) framework of ISO 13849-1, the personal-care hazard catalogue of ISO 13482, the industrial-robot envelope of ISO 10218 and ISO/TS 15066, and the quality-management framework of ISO 9001.</w:t>
      </w:r>
    </w:p>
    <w:p>
      <w:pPr>
        <w:spacing w:after="120"/>
      </w:pPr>
      <w:r>
        <w:rPr>
          <w:sz w:val="22"/>
        </w:rPr>
        <w:t>Thirty-two hazards have been identified across mechanical, electrical, thermal, environmental, personal-care, and cyber/control categories. Twenty-five safety functions have been derived to mitigate them. Of the 30 standards-clauses examined: 5 are met at concept level, 7 are partial, 16 are not met, and 2 are deferred to the deploying organisation.</w:t>
      </w:r>
    </w:p>
    <w:p>
      <w:pPr>
        <w:spacing w:before="120" w:after="40"/>
      </w:pPr>
      <w:r>
        <w:rPr>
          <w:b/>
          <w:color w:val="008B8B"/>
          <w:sz w:val="22"/>
        </w:rPr>
        <w:t>Headline finding</w:t>
      </w:r>
    </w:p>
    <w:p>
      <w:pPr>
        <w:spacing w:after="120"/>
      </w:pPr>
      <w:r>
        <w:rPr>
          <w:sz w:val="22"/>
        </w:rPr>
        <w:t>Asimov v1 is provisionally acceptable for OE-1 (research lab, supervised, tethered) only. Deployment to industrial cobot environments requires closure of 12 gaps; deployment to home or public-space environments — the operating modes that ISO 13482 was written for — requires closure of 19 and 21 gaps respectively. The most critical gaps are: wireless E-Stop architecture and validation, joint force/energy limit declaration, MTTFD/DC/CCF figures for control-system PL computation, locomotion-policy verification, and battery (BMS) compliance gating in the DIY kit.</w:t>
      </w:r>
    </w:p>
    <w:p>
      <w:pPr>
        <w:spacing w:before="120" w:after="40"/>
      </w:pPr>
      <w:r>
        <w:rPr>
          <w:b/>
          <w:color w:val="008B8B"/>
          <w:sz w:val="22"/>
        </w:rPr>
        <w:t>Risk profile by operational envelope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Op envelope</w:t>
            </w:r>
          </w:p>
        </w:tc>
        <w:tc>
          <w:tcPr>
            <w:tcW w:type="dxa" w:w="3969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417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2551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Provisional acceptance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OE-1 Lab (supervised)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Trained operator present, tethered/fixtured, no bystanders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LOW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PROVISIONAL YES</w:t>
            </w:r>
          </w:p>
        </w:tc>
      </w:tr>
      <w:tr>
        <w:tc>
          <w:tcPr>
            <w:tcW w:type="dxa" w:w="1984"/>
            <w:shd w:val="clear" w:color="auto" w:fill="F4F6F8"/>
          </w:tcPr>
          <w:p>
            <w:r/>
            <w:r>
              <w:rPr>
                <w:sz w:val="18"/>
              </w:rPr>
              <w:t>OE-2 Industrial cobot</w:t>
            </w:r>
          </w:p>
        </w:tc>
        <w:tc>
          <w:tcPr>
            <w:tcW w:type="dxa" w:w="3969"/>
            <w:shd w:val="clear" w:color="auto" w:fill="F4F6F8"/>
          </w:tcPr>
          <w:p>
            <w:r/>
            <w:r>
              <w:rPr>
                <w:sz w:val="18"/>
              </w:rPr>
              <w:t>Trained users, defined cell, possible collaboration</w:t>
            </w:r>
          </w:p>
        </w:tc>
        <w:tc>
          <w:tcPr>
            <w:tcW w:type="dxa" w:w="1417"/>
            <w:shd w:val="clear" w:color="auto" w:fill="F4F6F8"/>
          </w:tcPr>
          <w:p>
            <w:r/>
            <w:r>
              <w:rPr>
                <w:sz w:val="18"/>
              </w:rPr>
              <w:t>MEDIUM</w:t>
            </w:r>
          </w:p>
        </w:tc>
        <w:tc>
          <w:tcPr>
            <w:tcW w:type="dxa" w:w="2551"/>
            <w:shd w:val="clear" w:color="auto" w:fill="F4F6F8"/>
          </w:tcPr>
          <w:p>
            <w:r/>
            <w:r>
              <w:rPr>
                <w:sz w:val="18"/>
              </w:rPr>
              <w:t>NOT YET — 12 gaps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OE-3 Home / consumer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Untrained users, mixed surfaces, children/pets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NOT YET — 19 gaps</w:t>
            </w:r>
          </w:p>
        </w:tc>
      </w:tr>
      <w:tr>
        <w:tc>
          <w:tcPr>
            <w:tcW w:type="dxa" w:w="1984"/>
            <w:shd w:val="clear" w:color="auto" w:fill="F4F6F8"/>
          </w:tcPr>
          <w:p>
            <w:r/>
            <w:r>
              <w:rPr>
                <w:sz w:val="18"/>
              </w:rPr>
              <w:t>OE-4 Public space</w:t>
            </w:r>
          </w:p>
        </w:tc>
        <w:tc>
          <w:tcPr>
            <w:tcW w:type="dxa" w:w="3969"/>
            <w:shd w:val="clear" w:color="auto" w:fill="F4F6F8"/>
          </w:tcPr>
          <w:p>
            <w:r/>
            <w:r>
              <w:rPr>
                <w:sz w:val="18"/>
              </w:rPr>
              <w:t>Bystanders, weather, kerbs, elderly/disabled</w:t>
            </w:r>
          </w:p>
        </w:tc>
        <w:tc>
          <w:tcPr>
            <w:tcW w:type="dxa" w:w="1417"/>
            <w:shd w:val="clear" w:color="auto" w:fill="F4F6F8"/>
          </w:tcPr>
          <w:p>
            <w:r/>
            <w:r>
              <w:rPr>
                <w:sz w:val="18"/>
              </w:rPr>
              <w:t>VERY HIGH</w:t>
            </w:r>
          </w:p>
        </w:tc>
        <w:tc>
          <w:tcPr>
            <w:tcW w:type="dxa" w:w="2551"/>
            <w:shd w:val="clear" w:color="auto" w:fill="F4F6F8"/>
          </w:tcPr>
          <w:p>
            <w:r/>
            <w:r>
              <w:rPr>
                <w:sz w:val="18"/>
              </w:rPr>
              <w:t>NOT YET — 21 gaps</w:t>
            </w:r>
          </w:p>
        </w:tc>
      </w:tr>
    </w:tbl>
    <w:p/>
    <w:p>
      <w:r>
        <w:br w:type="page"/>
      </w:r>
    </w:p>
    <w:p>
      <w:pPr>
        <w:spacing w:after="160"/>
      </w:pPr>
      <w:r>
        <w:rPr>
          <w:b/>
          <w:color w:val="1F2D4D"/>
          <w:sz w:val="40"/>
        </w:rPr>
        <w:t>2. Scope and Item Definition</w:t>
      </w:r>
    </w:p>
    <w:p>
      <w:pPr>
        <w:spacing w:before="280" w:after="80"/>
      </w:pPr>
      <w:r>
        <w:rPr>
          <w:b/>
          <w:color w:val="1F2D4D"/>
          <w:sz w:val="28"/>
        </w:rPr>
        <w:t>2.1 Item under assessment</w:t>
      </w:r>
    </w:p>
    <w:p>
      <w:pPr>
        <w:spacing w:after="120"/>
      </w:pPr>
      <w:r>
        <w:rPr>
          <w:sz w:val="22"/>
        </w:rPr>
        <w:t>Asimov v1 is a 1.2 m, 35 kg bipedal humanoid robot with 25 actuated degrees of freedom plus 2 passive (legs 6 DOF × 2 + toe × 2; arms 5 DOF × 2; torso 1 DOF waist yaw; neck 2 DOF). The structure is 7075 aluminium and HP Multi-Jet-Fusion PA12 nylon. On-board compute is split: a Raspberry Pi 5 handles media and network, a Radxa CM5 (mounted on the Motion Control Board) handles motion control. Six CAN buses partition actuator traffic (left leg, right leg, left arm, right arm, waist-neck, BMS). Sensing is a 6-DOF LSM6DSV IMU, a 2 MP monocular camera, a quad microphone array, and joint-state telemetry.</w:t>
      </w:r>
    </w:p>
    <w:p>
      <w:pPr>
        <w:spacing w:after="120"/>
      </w:pPr>
      <w:r>
        <w:rPr>
          <w:sz w:val="22"/>
        </w:rPr>
        <w:t>Specified mechanical capability is squat 5 kg, bicep curl 15 kg per arm, lateral raise 18 kg per arm. The DIY kit excludes the battery — a critical safety boundary discussed in section 8.</w:t>
      </w:r>
    </w:p>
    <w:p>
      <w:pPr>
        <w:spacing w:before="280" w:after="80"/>
      </w:pPr>
      <w:r>
        <w:rPr>
          <w:b/>
          <w:color w:val="1F2D4D"/>
          <w:sz w:val="28"/>
        </w:rPr>
        <w:t>2.2 Functions of the item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134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8787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Function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F-01</w:t>
            </w:r>
          </w:p>
        </w:tc>
        <w:tc>
          <w:tcPr>
            <w:tcW w:type="dxa" w:w="8787"/>
          </w:tcPr>
          <w:p>
            <w:r/>
            <w:r>
              <w:rPr>
                <w:sz w:val="18"/>
              </w:rPr>
              <w:t>Stand — maintain bipedal balance</w:t>
            </w:r>
          </w:p>
        </w:tc>
      </w:tr>
      <w:tr>
        <w:tc>
          <w:tcPr>
            <w:tcW w:type="dxa" w:w="1134"/>
            <w:shd w:val="clear" w:color="auto" w:fill="F4F6F8"/>
          </w:tcPr>
          <w:p>
            <w:r/>
            <w:r>
              <w:rPr>
                <w:sz w:val="18"/>
              </w:rPr>
              <w:t>F-02</w:t>
            </w:r>
          </w:p>
        </w:tc>
        <w:tc>
          <w:tcPr>
            <w:tcW w:type="dxa" w:w="8787"/>
            <w:shd w:val="clear" w:color="auto" w:fill="F4F6F8"/>
          </w:tcPr>
          <w:p>
            <w:r/>
            <w:r>
              <w:rPr>
                <w:sz w:val="18"/>
              </w:rPr>
              <w:t>Walk — forward / backward / turn locomotion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F-03</w:t>
            </w:r>
          </w:p>
        </w:tc>
        <w:tc>
          <w:tcPr>
            <w:tcW w:type="dxa" w:w="8787"/>
          </w:tcPr>
          <w:p>
            <w:r/>
            <w:r>
              <w:rPr>
                <w:sz w:val="18"/>
              </w:rPr>
              <w:t>Manipulate — upper-body reach (no end-effector in v1)</w:t>
            </w:r>
          </w:p>
        </w:tc>
      </w:tr>
      <w:tr>
        <w:tc>
          <w:tcPr>
            <w:tcW w:type="dxa" w:w="1134"/>
            <w:shd w:val="clear" w:color="auto" w:fill="F4F6F8"/>
          </w:tcPr>
          <w:p>
            <w:r/>
            <w:r>
              <w:rPr>
                <w:sz w:val="18"/>
              </w:rPr>
              <w:t>F-04</w:t>
            </w:r>
          </w:p>
        </w:tc>
        <w:tc>
          <w:tcPr>
            <w:tcW w:type="dxa" w:w="8787"/>
            <w:shd w:val="clear" w:color="auto" w:fill="F4F6F8"/>
          </w:tcPr>
          <w:p>
            <w:r/>
            <w:r>
              <w:rPr>
                <w:sz w:val="18"/>
              </w:rPr>
              <w:t>Sense — stream camera, audio, IMU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F-05</w:t>
            </w:r>
          </w:p>
        </w:tc>
        <w:tc>
          <w:tcPr>
            <w:tcW w:type="dxa" w:w="8787"/>
          </w:tcPr>
          <w:p>
            <w:r/>
            <w:r>
              <w:rPr>
                <w:sz w:val="18"/>
              </w:rPr>
              <w:t>Tele-op — accept commands over WebRTC</w:t>
            </w:r>
          </w:p>
        </w:tc>
      </w:tr>
      <w:tr>
        <w:tc>
          <w:tcPr>
            <w:tcW w:type="dxa" w:w="1134"/>
            <w:shd w:val="clear" w:color="auto" w:fill="F4F6F8"/>
          </w:tcPr>
          <w:p>
            <w:r/>
            <w:r>
              <w:rPr>
                <w:sz w:val="18"/>
              </w:rPr>
              <w:t>F-06</w:t>
            </w:r>
          </w:p>
        </w:tc>
        <w:tc>
          <w:tcPr>
            <w:tcW w:type="dxa" w:w="8787"/>
            <w:shd w:val="clear" w:color="auto" w:fill="F4F6F8"/>
          </w:tcPr>
          <w:p>
            <w:r/>
            <w:r>
              <w:rPr>
                <w:sz w:val="18"/>
              </w:rPr>
              <w:t>Damp — passive limp state on disconnect / watchdog timeout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F-07</w:t>
            </w:r>
          </w:p>
        </w:tc>
        <w:tc>
          <w:tcPr>
            <w:tcW w:type="dxa" w:w="8787"/>
          </w:tcPr>
          <w:p>
            <w:r/>
            <w:r>
              <w:rPr>
                <w:sz w:val="18"/>
              </w:rPr>
              <w:t>Stand-up-from-pose — ramp to standing</w:t>
            </w:r>
          </w:p>
        </w:tc>
      </w:tr>
      <w:tr>
        <w:tc>
          <w:tcPr>
            <w:tcW w:type="dxa" w:w="1134"/>
            <w:shd w:val="clear" w:color="auto" w:fill="F4F6F8"/>
          </w:tcPr>
          <w:p>
            <w:r/>
            <w:r>
              <w:rPr>
                <w:sz w:val="18"/>
              </w:rPr>
              <w:t>F-08</w:t>
            </w:r>
          </w:p>
        </w:tc>
        <w:tc>
          <w:tcPr>
            <w:tcW w:type="dxa" w:w="8787"/>
            <w:shd w:val="clear" w:color="auto" w:fill="F4F6F8"/>
          </w:tcPr>
          <w:p>
            <w:r/>
            <w:r>
              <w:rPr>
                <w:sz w:val="18"/>
              </w:rPr>
              <w:t>E-Stop — remove motor power on wireless trigger</w:t>
            </w:r>
          </w:p>
        </w:tc>
      </w:tr>
    </w:tbl>
    <w:p/>
    <w:p>
      <w:pPr>
        <w:spacing w:before="280" w:after="80"/>
      </w:pPr>
      <w:r>
        <w:rPr>
          <w:b/>
          <w:color w:val="1F2D4D"/>
          <w:sz w:val="28"/>
        </w:rPr>
        <w:t>2.3 Operating modes (declared)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Mode</w:t>
            </w:r>
          </w:p>
        </w:tc>
        <w:tc>
          <w:tcPr>
            <w:tcW w:type="dxa" w:w="4535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Behaviour</w:t>
            </w:r>
          </w:p>
        </w:tc>
        <w:tc>
          <w:tcPr>
            <w:tcW w:type="dxa" w:w="3685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Entry condition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M-01 DAMP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Motors limp; safe default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On disconnect / watchdog timeout / E-Stop</w:t>
            </w:r>
          </w:p>
        </w:tc>
      </w:tr>
      <w:tr>
        <w:tc>
          <w:tcPr>
            <w:tcW w:type="dxa" w:w="1701"/>
            <w:shd w:val="clear" w:color="auto" w:fill="F4F6F8"/>
          </w:tcPr>
          <w:p>
            <w:r/>
            <w:r>
              <w:rPr>
                <w:sz w:val="18"/>
              </w:rPr>
              <w:t>M-02 STAND</w:t>
            </w:r>
          </w:p>
        </w:tc>
        <w:tc>
          <w:tcPr>
            <w:tcW w:type="dxa" w:w="4535"/>
            <w:shd w:val="clear" w:color="auto" w:fill="F4F6F8"/>
          </w:tcPr>
          <w:p>
            <w:r/>
            <w:r>
              <w:rPr>
                <w:sz w:val="18"/>
              </w:rPr>
              <w:t>Controller maintains standing pose; ramps over ~2 s</w:t>
            </w:r>
          </w:p>
        </w:tc>
        <w:tc>
          <w:tcPr>
            <w:tcW w:type="dxa" w:w="3685"/>
            <w:shd w:val="clear" w:color="auto" w:fill="F4F6F8"/>
          </w:tcPr>
          <w:p>
            <w:r/>
            <w:r>
              <w:rPr>
                <w:sz w:val="18"/>
              </w:rPr>
              <w:t>ModeCommand(STAND)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M-03 MOVE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Accepts position/torque commands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ModeCommand(MOVE) after STAND established</w:t>
            </w:r>
          </w:p>
        </w:tc>
      </w:tr>
    </w:tbl>
    <w:p/>
    <w:p>
      <w:pPr>
        <w:spacing w:before="280" w:after="80"/>
      </w:pPr>
      <w:r>
        <w:rPr>
          <w:b/>
          <w:color w:val="1F2D4D"/>
          <w:sz w:val="28"/>
        </w:rPr>
        <w:t>2.4 Use limits and reasonably foreseeable misuse</w:t>
      </w:r>
    </w:p>
    <w:p>
      <w:pPr>
        <w:spacing w:after="120"/>
      </w:pPr>
      <w:r>
        <w:rPr>
          <w:sz w:val="22"/>
        </w:rPr>
        <w:t>Per ISO 12100 §5.3, reasonably foreseeable misuse considered in this case includes: operation by untrained users, operation around children or pets, operation outdoors on uneven terrain, operation without the wireless E-Stop in the operator's reach, operation with damaged 7075 structural parts, charging or powering with non-OEM battery packs, and modification of joint torque limits in software.</w:t>
      </w:r>
    </w:p>
    <w:p>
      <w:pPr>
        <w:spacing w:before="280" w:after="80"/>
      </w:pPr>
      <w:r>
        <w:rPr>
          <w:b/>
          <w:color w:val="1F2D4D"/>
          <w:sz w:val="28"/>
        </w:rPr>
        <w:t>2.5 Assumptions explicitly relied upon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134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8787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Assumption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A-01</w:t>
            </w:r>
          </w:p>
        </w:tc>
        <w:tc>
          <w:tcPr>
            <w:tcW w:type="dxa" w:w="8787"/>
          </w:tcPr>
          <w:p>
            <w:r/>
            <w:r>
              <w:rPr>
                <w:sz w:val="18"/>
              </w:rPr>
              <w:t>Operator is trained and within E-Stop range at all times in MOVE.</w:t>
            </w:r>
          </w:p>
        </w:tc>
      </w:tr>
      <w:tr>
        <w:tc>
          <w:tcPr>
            <w:tcW w:type="dxa" w:w="1134"/>
            <w:shd w:val="clear" w:color="auto" w:fill="F4F6F8"/>
          </w:tcPr>
          <w:p>
            <w:r/>
            <w:r>
              <w:rPr>
                <w:sz w:val="18"/>
              </w:rPr>
              <w:t>A-02</w:t>
            </w:r>
          </w:p>
        </w:tc>
        <w:tc>
          <w:tcPr>
            <w:tcW w:type="dxa" w:w="8787"/>
            <w:shd w:val="clear" w:color="auto" w:fill="F4F6F8"/>
          </w:tcPr>
          <w:p>
            <w:r/>
            <w:r>
              <w:rPr>
                <w:sz w:val="18"/>
              </w:rPr>
              <w:t>Battery (when fitted) is UN 38.3 / IEC 62133-2 compliant Li-ion with integrated BMS.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A-03</w:t>
            </w:r>
          </w:p>
        </w:tc>
        <w:tc>
          <w:tcPr>
            <w:tcW w:type="dxa" w:w="8787"/>
          </w:tcPr>
          <w:p>
            <w:r/>
            <w:r>
              <w:rPr>
                <w:sz w:val="18"/>
              </w:rPr>
              <w:t>Structure is genuine 7075 Al and MJF PA12; no substitutions during DIY build.</w:t>
            </w:r>
          </w:p>
        </w:tc>
      </w:tr>
      <w:tr>
        <w:tc>
          <w:tcPr>
            <w:tcW w:type="dxa" w:w="1134"/>
            <w:shd w:val="clear" w:color="auto" w:fill="F4F6F8"/>
          </w:tcPr>
          <w:p>
            <w:r/>
            <w:r>
              <w:rPr>
                <w:sz w:val="18"/>
              </w:rPr>
              <w:t>A-04</w:t>
            </w:r>
          </w:p>
        </w:tc>
        <w:tc>
          <w:tcPr>
            <w:tcW w:type="dxa" w:w="8787"/>
            <w:shd w:val="clear" w:color="auto" w:fill="F4F6F8"/>
          </w:tcPr>
          <w:p>
            <w:r/>
            <w:r>
              <w:rPr>
                <w:sz w:val="18"/>
              </w:rPr>
              <w:t>CAN harness is built per WireViz with correct termination and crimp.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A-05</w:t>
            </w:r>
          </w:p>
        </w:tc>
        <w:tc>
          <w:tcPr>
            <w:tcW w:type="dxa" w:w="8787"/>
          </w:tcPr>
          <w:p>
            <w:r/>
            <w:r>
              <w:rPr>
                <w:sz w:val="18"/>
              </w:rPr>
              <w:t>Operating surface is level (≤5°), dry and free of obstacles.</w:t>
            </w:r>
          </w:p>
        </w:tc>
      </w:tr>
      <w:tr>
        <w:tc>
          <w:tcPr>
            <w:tcW w:type="dxa" w:w="1134"/>
            <w:shd w:val="clear" w:color="auto" w:fill="F4F6F8"/>
          </w:tcPr>
          <w:p>
            <w:r/>
            <w:r>
              <w:rPr>
                <w:sz w:val="18"/>
              </w:rPr>
              <w:t>A-06</w:t>
            </w:r>
          </w:p>
        </w:tc>
        <w:tc>
          <w:tcPr>
            <w:tcW w:type="dxa" w:w="8787"/>
            <w:shd w:val="clear" w:color="auto" w:fill="F4F6F8"/>
          </w:tcPr>
          <w:p>
            <w:r/>
            <w:r>
              <w:rPr>
                <w:sz w:val="18"/>
              </w:rPr>
              <w:t>No human body part enters the swept volume of any actuated joint while in M-02 or M-03.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A-07</w:t>
            </w:r>
          </w:p>
        </w:tc>
        <w:tc>
          <w:tcPr>
            <w:tcW w:type="dxa" w:w="8787"/>
          </w:tcPr>
          <w:p>
            <w:r/>
            <w:r>
              <w:rPr>
                <w:sz w:val="18"/>
              </w:rPr>
              <w:t>Robot is NOT a medical device, child-care robot, or load-bearing person-carrier.</w:t>
            </w:r>
          </w:p>
        </w:tc>
      </w:tr>
    </w:tbl>
    <w:p/>
    <w:p>
      <w:r>
        <w:br w:type="page"/>
      </w:r>
    </w:p>
    <w:p>
      <w:pPr>
        <w:spacing w:after="160"/>
      </w:pPr>
      <w:r>
        <w:rPr>
          <w:b/>
          <w:color w:val="1F2D4D"/>
          <w:sz w:val="40"/>
        </w:rPr>
        <w:t>3. Standards Compliance Summary</w:t>
      </w:r>
    </w:p>
    <w:p>
      <w:pPr>
        <w:spacing w:after="120"/>
      </w:pPr>
      <w:r>
        <w:rPr>
          <w:sz w:val="22"/>
        </w:rPr>
        <w:t>Thirty clauses across six standards (and three referenced) were examined. The complete matrix lives in tab 04_StdMatrix of the companion workbook; the headline distribution is below.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2268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Standard</w:t>
            </w:r>
          </w:p>
        </w:tc>
        <w:tc>
          <w:tcPr>
            <w:tcW w:type="dxa" w:w="1417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Clauses examined</w:t>
            </w:r>
          </w:p>
        </w:tc>
        <w:tc>
          <w:tcPr>
            <w:tcW w:type="dxa" w:w="1417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Met (concept)</w:t>
            </w:r>
          </w:p>
        </w:tc>
        <w:tc>
          <w:tcPr>
            <w:tcW w:type="dxa" w:w="1134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Partial</w:t>
            </w:r>
          </w:p>
        </w:tc>
        <w:tc>
          <w:tcPr>
            <w:tcW w:type="dxa" w:w="1134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Not met</w:t>
            </w:r>
          </w:p>
        </w:tc>
        <w:tc>
          <w:tcPr>
            <w:tcW w:type="dxa" w:w="1417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Deferred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ISO 12100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2268"/>
            <w:shd w:val="clear" w:color="auto" w:fill="F4F6F8"/>
          </w:tcPr>
          <w:p>
            <w:r/>
            <w:r>
              <w:rPr>
                <w:sz w:val="18"/>
              </w:rPr>
              <w:t>ISO 10218-1/-2 + TS 15066</w:t>
            </w:r>
          </w:p>
        </w:tc>
        <w:tc>
          <w:tcPr>
            <w:tcW w:type="dxa" w:w="1417"/>
            <w:shd w:val="clear" w:color="auto" w:fill="F4F6F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417"/>
            <w:shd w:val="clear" w:color="auto" w:fill="F4F6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  <w:shd w:val="clear" w:color="auto" w:fill="F4F6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  <w:shd w:val="clear" w:color="auto" w:fill="F4F6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417"/>
            <w:shd w:val="clear" w:color="auto" w:fill="F4F6F8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ISO 13849-1/-2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2268"/>
            <w:shd w:val="clear" w:color="auto" w:fill="F4F6F8"/>
          </w:tcPr>
          <w:p>
            <w:r/>
            <w:r>
              <w:rPr>
                <w:sz w:val="18"/>
              </w:rPr>
              <w:t>ISO 13482</w:t>
            </w:r>
          </w:p>
        </w:tc>
        <w:tc>
          <w:tcPr>
            <w:tcW w:type="dxa" w:w="1417"/>
            <w:shd w:val="clear" w:color="auto" w:fill="F4F6F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417"/>
            <w:shd w:val="clear" w:color="auto" w:fill="F4F6F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134"/>
            <w:shd w:val="clear" w:color="auto" w:fill="F4F6F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134"/>
            <w:shd w:val="clear" w:color="auto" w:fill="F4F6F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417"/>
            <w:shd w:val="clear" w:color="auto" w:fill="F4F6F8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ISO 9001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2268"/>
            <w:shd w:val="clear" w:color="auto" w:fill="F4F6F8"/>
          </w:tcPr>
          <w:p>
            <w:r/>
            <w:r>
              <w:rPr>
                <w:sz w:val="18"/>
              </w:rPr>
              <w:t>IEC 60204-1</w:t>
            </w:r>
          </w:p>
        </w:tc>
        <w:tc>
          <w:tcPr>
            <w:tcW w:type="dxa" w:w="1417"/>
            <w:shd w:val="clear" w:color="auto" w:fill="F4F6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417"/>
            <w:shd w:val="clear" w:color="auto" w:fill="F4F6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  <w:shd w:val="clear" w:color="auto" w:fill="F4F6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134"/>
            <w:shd w:val="clear" w:color="auto" w:fill="F4F6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417"/>
            <w:shd w:val="clear" w:color="auto" w:fill="F4F6F8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IEC 62133-2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2268"/>
            <w:shd w:val="clear" w:color="auto" w:fill="F4F6F8"/>
          </w:tcPr>
          <w:p>
            <w:r/>
            <w:r>
              <w:rPr>
                <w:sz w:val="18"/>
              </w:rPr>
              <w:t>TOTAL</w:t>
            </w:r>
          </w:p>
        </w:tc>
        <w:tc>
          <w:tcPr>
            <w:tcW w:type="dxa" w:w="1417"/>
            <w:shd w:val="clear" w:color="auto" w:fill="F4F6F8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417"/>
            <w:shd w:val="clear" w:color="auto" w:fill="F4F6F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134"/>
            <w:shd w:val="clear" w:color="auto" w:fill="F4F6F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134"/>
            <w:shd w:val="clear" w:color="auto" w:fill="F4F6F8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417"/>
            <w:shd w:val="clear" w:color="auto" w:fill="F4F6F8"/>
          </w:tcPr>
          <w:p>
            <w:r/>
            <w:r>
              <w:rPr>
                <w:sz w:val="18"/>
              </w:rPr>
              <w:t>2</w:t>
            </w:r>
          </w:p>
        </w:tc>
      </w:tr>
    </w:tbl>
    <w:p/>
    <w:p>
      <w:pPr>
        <w:spacing w:after="120"/>
      </w:pPr>
      <w:r>
        <w:rPr>
          <w:sz w:val="22"/>
        </w:rPr>
        <w:t>The cluster of 'Not met' findings sits primarily on the V&amp;V evidence side: there is no published test report, no MTTFD or DC figure for any control channel, and the wireless E-Stop architecture is not specified. The ISO 9001 cluster reflects that the upstream project uses git for revision control but does not maintain design-review records, NCR or CAR systems publicly.</w:t>
      </w:r>
    </w:p>
    <w:p>
      <w:r>
        <w:br w:type="page"/>
      </w:r>
    </w:p>
    <w:p>
      <w:pPr>
        <w:spacing w:after="160"/>
      </w:pPr>
      <w:r>
        <w:rPr>
          <w:b/>
          <w:color w:val="1F2D4D"/>
          <w:sz w:val="40"/>
        </w:rPr>
        <w:t>4. Hazard Analysis Findings</w:t>
      </w:r>
    </w:p>
    <w:p>
      <w:pPr>
        <w:spacing w:before="280" w:after="80"/>
      </w:pPr>
      <w:r>
        <w:rPr>
          <w:b/>
          <w:color w:val="1F2D4D"/>
          <w:sz w:val="28"/>
        </w:rPr>
        <w:t>4.1 Catalogue construction</w:t>
      </w:r>
    </w:p>
    <w:p>
      <w:pPr>
        <w:spacing w:after="120"/>
      </w:pPr>
      <w:r>
        <w:rPr>
          <w:sz w:val="22"/>
        </w:rPr>
        <w:t>The catalogue was built by traversing ISO 12100 Annex B (general machinery hazards) and ISO 13482 Annex A (personal-care robot hazards) for completeness, then projecting each entry onto the Asimov v1 architecture. Thirty-two hazards survived as relevant; one (HZ-M06 high-pressure fluid injection) was excluded because the item has no fluid power.</w:t>
      </w:r>
    </w:p>
    <w:p>
      <w:pPr>
        <w:spacing w:before="280" w:after="80"/>
      </w:pPr>
      <w:r>
        <w:rPr>
          <w:b/>
          <w:color w:val="1F2D4D"/>
          <w:sz w:val="28"/>
        </w:rPr>
        <w:t>4.2 Risk scoring method</w:t>
      </w:r>
    </w:p>
    <w:p>
      <w:pPr>
        <w:spacing w:after="120"/>
      </w:pPr>
      <w:r>
        <w:rPr>
          <w:sz w:val="22"/>
        </w:rPr>
        <w:t>Each hazard scenario is scored on the ISO 13849-1 Annex A risk graph: Severity (S1 reversible / S2 irreversible) × Frequency or exposure (F1 seldom / F2 frequent) × Possibility of avoidance (P1 possible / P2 scarcely possible). The graph yields a Required Performance Level (PLr) from a (lowest) to e (highest), which determines the architectural Category required of the safety control system.</w:t>
      </w:r>
    </w:p>
    <w:p>
      <w:pPr>
        <w:spacing w:before="280" w:after="80"/>
      </w:pPr>
      <w:r>
        <w:rPr>
          <w:b/>
          <w:color w:val="1F2D4D"/>
          <w:sz w:val="28"/>
        </w:rPr>
        <w:t>4.3 Top hazards by residual risk</w:t>
      </w:r>
    </w:p>
    <w:p>
      <w:pPr>
        <w:spacing w:after="120"/>
      </w:pPr>
      <w:r>
        <w:rPr>
          <w:sz w:val="22"/>
        </w:rPr>
        <w:t>After applying the 25 declared safety functions (the FSC scaffold), 5 residual risks remain at High or Very-High and require closure before any deployment beyond OE-1.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134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Hazard</w:t>
            </w:r>
          </w:p>
        </w:tc>
        <w:tc>
          <w:tcPr>
            <w:tcW w:type="dxa" w:w="4535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850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PLr</w:t>
            </w:r>
          </w:p>
        </w:tc>
        <w:tc>
          <w:tcPr>
            <w:tcW w:type="dxa" w:w="1417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Residual</w:t>
            </w:r>
          </w:p>
        </w:tc>
        <w:tc>
          <w:tcPr>
            <w:tcW w:type="dxa" w:w="2268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Reason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HZ-T02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Li-ion thermal runaway (battery)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d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VERY HIGH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BMS user-supplied; not gated by kit</w:t>
            </w:r>
          </w:p>
        </w:tc>
      </w:tr>
      <w:tr>
        <w:tc>
          <w:tcPr>
            <w:tcW w:type="dxa" w:w="1134"/>
            <w:shd w:val="clear" w:color="auto" w:fill="F4F6F8"/>
          </w:tcPr>
          <w:p>
            <w:r/>
            <w:r>
              <w:rPr>
                <w:sz w:val="18"/>
              </w:rPr>
              <w:t>HZ-P02</w:t>
            </w:r>
          </w:p>
        </w:tc>
        <w:tc>
          <w:tcPr>
            <w:tcW w:type="dxa" w:w="4535"/>
            <w:shd w:val="clear" w:color="auto" w:fill="F4F6F8"/>
          </w:tcPr>
          <w:p>
            <w:r/>
            <w:r>
              <w:rPr>
                <w:sz w:val="18"/>
              </w:rPr>
              <w:t>Locomotion policy edge case → hazardous traj.</w:t>
            </w:r>
          </w:p>
        </w:tc>
        <w:tc>
          <w:tcPr>
            <w:tcW w:type="dxa" w:w="850"/>
            <w:shd w:val="clear" w:color="auto" w:fill="F4F6F8"/>
          </w:tcPr>
          <w:p>
            <w:r/>
            <w:r>
              <w:rPr>
                <w:sz w:val="18"/>
              </w:rPr>
              <w:t>e</w:t>
            </w:r>
          </w:p>
        </w:tc>
        <w:tc>
          <w:tcPr>
            <w:tcW w:type="dxa" w:w="1417"/>
            <w:shd w:val="clear" w:color="auto" w:fill="F4F6F8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2268"/>
            <w:shd w:val="clear" w:color="auto" w:fill="F4F6F8"/>
          </w:tcPr>
          <w:p>
            <w:r/>
            <w:r>
              <w:rPr>
                <w:sz w:val="18"/>
              </w:rPr>
              <w:t>Policy unreleased; sim2real gap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HZ-P04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Intentional contact exceeds force limit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e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PFL thresholds not declared (TS 15066)</w:t>
            </w:r>
          </w:p>
        </w:tc>
      </w:tr>
      <w:tr>
        <w:tc>
          <w:tcPr>
            <w:tcW w:type="dxa" w:w="1134"/>
            <w:shd w:val="clear" w:color="auto" w:fill="F4F6F8"/>
          </w:tcPr>
          <w:p>
            <w:r/>
            <w:r>
              <w:rPr>
                <w:sz w:val="18"/>
              </w:rPr>
              <w:t>HZ-M02</w:t>
            </w:r>
          </w:p>
        </w:tc>
        <w:tc>
          <w:tcPr>
            <w:tcW w:type="dxa" w:w="4535"/>
            <w:shd w:val="clear" w:color="auto" w:fill="F4F6F8"/>
          </w:tcPr>
          <w:p>
            <w:r/>
            <w:r>
              <w:rPr>
                <w:sz w:val="18"/>
              </w:rPr>
              <w:t>Joint pinch during MOVE</w:t>
            </w:r>
          </w:p>
        </w:tc>
        <w:tc>
          <w:tcPr>
            <w:tcW w:type="dxa" w:w="850"/>
            <w:shd w:val="clear" w:color="auto" w:fill="F4F6F8"/>
          </w:tcPr>
          <w:p>
            <w:r/>
            <w:r>
              <w:rPr>
                <w:sz w:val="18"/>
              </w:rPr>
              <w:t>e</w:t>
            </w:r>
          </w:p>
        </w:tc>
        <w:tc>
          <w:tcPr>
            <w:tcW w:type="dxa" w:w="1417"/>
            <w:shd w:val="clear" w:color="auto" w:fill="F4F6F8"/>
          </w:tcPr>
          <w:p>
            <w:r/>
            <w:r>
              <w:rPr>
                <w:sz w:val="18"/>
              </w:rPr>
              <w:t>MED</w:t>
            </w:r>
          </w:p>
        </w:tc>
        <w:tc>
          <w:tcPr>
            <w:tcW w:type="dxa" w:w="2268"/>
            <w:shd w:val="clear" w:color="auto" w:fill="F4F6F8"/>
          </w:tcPr>
          <w:p>
            <w:r/>
            <w:r>
              <w:rPr>
                <w:sz w:val="18"/>
              </w:rPr>
              <w:t>Speed limits not declared; perception not in v1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HZ-M04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Arm sweep strike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e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MED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Speed reduction trigger not implemented</w:t>
            </w:r>
          </w:p>
        </w:tc>
      </w:tr>
    </w:tbl>
    <w:p/>
    <w:p>
      <w:pPr>
        <w:spacing w:before="280" w:after="80"/>
      </w:pPr>
      <w:r>
        <w:rPr>
          <w:b/>
          <w:color w:val="1F2D4D"/>
          <w:sz w:val="28"/>
        </w:rPr>
        <w:t>4.4 Hazards by category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1134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Count</w:t>
            </w:r>
          </w:p>
        </w:tc>
        <w:tc>
          <w:tcPr>
            <w:tcW w:type="dxa" w:w="6236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Mechanical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Tip-over, pinch, shear, sharp-edge, entanglement, stability, slip</w:t>
            </w:r>
          </w:p>
        </w:tc>
      </w:tr>
      <w:tr>
        <w:tc>
          <w:tcPr>
            <w:tcW w:type="dxa" w:w="2551"/>
            <w:shd w:val="clear" w:color="auto" w:fill="F4F6F8"/>
          </w:tcPr>
          <w:p>
            <w:r/>
            <w:r>
              <w:rPr>
                <w:sz w:val="18"/>
              </w:rPr>
              <w:t>Electrical</w:t>
            </w:r>
          </w:p>
        </w:tc>
        <w:tc>
          <w:tcPr>
            <w:tcW w:type="dxa" w:w="1134"/>
            <w:shd w:val="clear" w:color="auto" w:fill="F4F6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6236"/>
            <w:shd w:val="clear" w:color="auto" w:fill="F4F6F8"/>
          </w:tcPr>
          <w:p>
            <w:r/>
            <w:r>
              <w:rPr>
                <w:sz w:val="18"/>
              </w:rPr>
              <w:t>Shock, arc, ESD, EMI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Thermal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Stator burn, battery runaway</w:t>
            </w:r>
          </w:p>
        </w:tc>
      </w:tr>
      <w:tr>
        <w:tc>
          <w:tcPr>
            <w:tcW w:type="dxa" w:w="2551"/>
            <w:shd w:val="clear" w:color="auto" w:fill="F4F6F8"/>
          </w:tcPr>
          <w:p>
            <w:r/>
            <w:r>
              <w:rPr>
                <w:sz w:val="18"/>
              </w:rPr>
              <w:t>Noise</w:t>
            </w:r>
          </w:p>
        </w:tc>
        <w:tc>
          <w:tcPr>
            <w:tcW w:type="dxa" w:w="1134"/>
            <w:shd w:val="clear" w:color="auto" w:fill="F4F6F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6236"/>
            <w:shd w:val="clear" w:color="auto" w:fill="F4F6F8"/>
          </w:tcPr>
          <w:p>
            <w:r/>
            <w:r>
              <w:rPr>
                <w:sz w:val="18"/>
              </w:rPr>
              <w:t>Speaker &gt; 85 dBA at user ear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Materials/dust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MJF PA12 inhalation during repair</w:t>
            </w:r>
          </w:p>
        </w:tc>
      </w:tr>
      <w:tr>
        <w:tc>
          <w:tcPr>
            <w:tcW w:type="dxa" w:w="2551"/>
            <w:shd w:val="clear" w:color="auto" w:fill="F4F6F8"/>
          </w:tcPr>
          <w:p>
            <w:r/>
            <w:r>
              <w:rPr>
                <w:sz w:val="18"/>
              </w:rPr>
              <w:t>Ergonomic</w:t>
            </w:r>
          </w:p>
        </w:tc>
        <w:tc>
          <w:tcPr>
            <w:tcW w:type="dxa" w:w="1134"/>
            <w:shd w:val="clear" w:color="auto" w:fill="F4F6F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6236"/>
            <w:shd w:val="clear" w:color="auto" w:fill="F4F6F8"/>
          </w:tcPr>
          <w:p>
            <w:r/>
            <w:r>
              <w:rPr>
                <w:sz w:val="18"/>
              </w:rPr>
              <w:t>35 kg manual lift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Environmental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Out-of-temp range, wet/wet floor</w:t>
            </w:r>
          </w:p>
        </w:tc>
      </w:tr>
      <w:tr>
        <w:tc>
          <w:tcPr>
            <w:tcW w:type="dxa" w:w="2551"/>
            <w:shd w:val="clear" w:color="auto" w:fill="F4F6F8"/>
          </w:tcPr>
          <w:p>
            <w:r/>
            <w:r>
              <w:rPr>
                <w:sz w:val="18"/>
              </w:rPr>
              <w:t>Personal-care (13482)</w:t>
            </w:r>
          </w:p>
        </w:tc>
        <w:tc>
          <w:tcPr>
            <w:tcW w:type="dxa" w:w="1134"/>
            <w:shd w:val="clear" w:color="auto" w:fill="F4F6F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6236"/>
            <w:shd w:val="clear" w:color="auto" w:fill="F4F6F8"/>
          </w:tcPr>
          <w:p>
            <w:r/>
            <w:r>
              <w:rPr>
                <w:sz w:val="18"/>
              </w:rPr>
              <w:t>Restraint, autonomous decision, power loss, contact, lean, cognitive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Control / cyber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Comms loss, unauth cmd, IMU stuck, deadlock, joint overshoot</w:t>
            </w:r>
          </w:p>
        </w:tc>
      </w:tr>
    </w:tbl>
    <w:p/>
    <w:p>
      <w:r>
        <w:br w:type="page"/>
      </w:r>
    </w:p>
    <w:p>
      <w:pPr>
        <w:spacing w:after="160"/>
      </w:pPr>
      <w:r>
        <w:rPr>
          <w:b/>
          <w:color w:val="1F2D4D"/>
          <w:sz w:val="40"/>
        </w:rPr>
        <w:t>5. Safety Argument (Goal Structuring Notation, narrative)</w:t>
      </w:r>
    </w:p>
    <w:p>
      <w:pPr>
        <w:spacing w:after="120"/>
      </w:pPr>
      <w:r>
        <w:rPr>
          <w:sz w:val="22"/>
        </w:rPr>
        <w:t>The argument is structured top-down per the GSN community standard. The top-level Goal G1 claims that Asimov v1 is acceptably safe within the declared envelope. It is decomposed by Strategy S1 into four sub-arguments — hazard completeness, three-step risk reduction, safety-function integrity, and standards conformance — each leading to leaf Solutions or open Goals.</w:t>
      </w:r>
    </w:p>
    <w:p>
      <w:pPr>
        <w:spacing w:before="280" w:after="80"/>
      </w:pPr>
      <w:r>
        <w:rPr>
          <w:b/>
          <w:color w:val="1F2D4D"/>
          <w:sz w:val="28"/>
        </w:rPr>
        <w:t>5.1 Top-level claim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AF1FB"/>
          </w:tcPr>
          <w:p>
            <w:r>
              <w:rPr>
                <w:b/>
                <w:color w:val="1F2D4D"/>
                <w:sz w:val="22"/>
              </w:rPr>
              <w:t>G1 — Top Goal</w:t>
            </w:r>
          </w:p>
          <w:p>
            <w:r>
              <w:rPr>
                <w:sz w:val="20"/>
              </w:rPr>
              <w:t>Asimov v1 is acceptably safe within the declared operational envelope (OE-1 lab supervised) and all reasonably foreseeable misuse is mitigated.</w:t>
            </w:r>
          </w:p>
        </w:tc>
      </w:tr>
    </w:tbl>
    <w:p/>
    <w:p>
      <w:pPr>
        <w:spacing w:before="280" w:after="80"/>
      </w:pPr>
      <w:r>
        <w:rPr>
          <w:b/>
          <w:color w:val="1F2D4D"/>
          <w:sz w:val="28"/>
        </w:rPr>
        <w:t>5.2 Decomposition</w:t>
      </w:r>
    </w:p>
    <w:p>
      <w:pPr>
        <w:spacing w:after="120"/>
      </w:pPr>
      <w:r>
        <w:rPr>
          <w:sz w:val="22"/>
        </w:rPr>
        <w:t>Strategy S1 — argue over hazard identification completeness, three-step risk reduction (ISO 12100 §6.5), safety-function integrity (ISO 13849-1), and standards conformance — produces four sub-goals (G2–G5) plus a quality-management leg (G6) and a personal-care-specific leg (G7).</w:t>
      </w:r>
    </w:p>
    <w:p>
      <w:pPr>
        <w:spacing w:before="120" w:after="40"/>
      </w:pPr>
      <w:r>
        <w:rPr>
          <w:b/>
          <w:color w:val="008B8B"/>
          <w:sz w:val="22"/>
        </w:rPr>
        <w:t>G2 — All foreseeable hazards identified</w:t>
      </w:r>
    </w:p>
    <w:p>
      <w:pPr>
        <w:spacing w:after="120"/>
      </w:pPr>
      <w:r>
        <w:rPr>
          <w:sz w:val="22"/>
        </w:rPr>
        <w:t>Discharged at concept level by Sn1: ISO 12100 Annex B + ISO 13482 Annex A traversed; 32 hazards catalogued (tab 06).</w:t>
      </w:r>
    </w:p>
    <w:p>
      <w:pPr>
        <w:spacing w:before="120" w:after="40"/>
      </w:pPr>
      <w:r>
        <w:rPr>
          <w:b/>
          <w:color w:val="008B8B"/>
          <w:sz w:val="22"/>
        </w:rPr>
        <w:t>G3 — Risk reduced to acceptable</w:t>
      </w:r>
    </w:p>
    <w:p>
      <w:pPr>
        <w:spacing w:after="120"/>
      </w:pPr>
      <w:r>
        <w:rPr>
          <w:sz w:val="22"/>
        </w:rPr>
        <w:t>Decomposed by Strategy S3 into G3.1 inherent design (mass/edges/joint travel — partially evident in upstream CAD), G3.2 safeguarding via 25 safety functions (FSC scaffold, tab 09), and G3.3 information-for-use (NOT evident — manual subpages /v1/safety, /v1/quickstart return 404, see GAP-DOC-01).</w:t>
      </w:r>
    </w:p>
    <w:p>
      <w:pPr>
        <w:spacing w:before="120" w:after="40"/>
      </w:pPr>
      <w:r>
        <w:rPr>
          <w:b/>
          <w:color w:val="008B8B"/>
          <w:sz w:val="22"/>
        </w:rPr>
        <w:t>G4 — Each safety function meets its required PL</w:t>
      </w:r>
    </w:p>
    <w:p>
      <w:pPr>
        <w:spacing w:after="120"/>
      </w:pPr>
      <w:r>
        <w:rPr>
          <w:sz w:val="22"/>
        </w:rPr>
        <w:t>Decomposed per ISO 13849-1 §4.5.4 into G4.1 Category (target allocated, tab 09), G4.2 MTTFD per channel (NOT evident — GAP-13849-02), G4.3 DC per channel (NOT evident — GAP-13849-02), G4.4 CCF ≥ 65 (NOT evident — GAP-13849-02), G4.5 Validation per ISO 13849-2 (NOT evident — GAP-13849-03). G4 therefore CANNOT be discharged at this revision.</w:t>
      </w:r>
    </w:p>
    <w:p>
      <w:pPr>
        <w:spacing w:before="120" w:after="40"/>
      </w:pPr>
      <w:r>
        <w:rPr>
          <w:b/>
          <w:color w:val="008B8B"/>
          <w:sz w:val="22"/>
        </w:rPr>
        <w:t>G5 — Standards conformance demonstrated</w:t>
      </w:r>
    </w:p>
    <w:p>
      <w:pPr>
        <w:spacing w:after="120"/>
      </w:pPr>
      <w:r>
        <w:rPr>
          <w:sz w:val="22"/>
        </w:rPr>
        <w:t>Sn5 produces the standards-compliance matrix (tab 04). At present 6 of 33 clauses are met at concept level; G5 is partially supported but cannot be discharged.</w:t>
      </w:r>
    </w:p>
    <w:p>
      <w:pPr>
        <w:spacing w:before="120" w:after="40"/>
      </w:pPr>
      <w:r>
        <w:rPr>
          <w:b/>
          <w:color w:val="008B8B"/>
          <w:sz w:val="22"/>
        </w:rPr>
        <w:t>G6 — ISO 9001 quality management</w:t>
      </w:r>
    </w:p>
    <w:p>
      <w:pPr>
        <w:spacing w:after="120"/>
      </w:pPr>
      <w:r>
        <w:rPr>
          <w:sz w:val="22"/>
        </w:rPr>
        <w:t>Git-backed document control is acceptable. Design-review records, NCR procedure, CAR system, internal audit and monitoring are absent (GAP-9001-01 through 06). G6 NOT discharged.</w:t>
      </w:r>
    </w:p>
    <w:p>
      <w:pPr>
        <w:spacing w:before="120" w:after="40"/>
      </w:pPr>
      <w:r>
        <w:rPr>
          <w:b/>
          <w:color w:val="008B8B"/>
          <w:sz w:val="22"/>
        </w:rPr>
        <w:t>G7 — Personal-care robot specifics</w:t>
      </w:r>
    </w:p>
    <w:p>
      <w:pPr>
        <w:spacing w:after="120"/>
      </w:pPr>
      <w:r>
        <w:rPr>
          <w:sz w:val="22"/>
        </w:rPr>
        <w:t>Six gaps remain in ISO 13482 §5.7 (force/energy limits), §5.10 (speed/torque/momentum), §5.13 (stability), §5.16 (E-Stop), §6 (control system), §7 (V&amp;V). Deployment to OE-3/OE-4 NOT recommended at this revision.</w:t>
      </w:r>
    </w:p>
    <w:p>
      <w:pPr>
        <w:spacing w:before="280" w:after="80"/>
      </w:pPr>
      <w:r>
        <w:rPr>
          <w:b/>
          <w:color w:val="1F2D4D"/>
          <w:sz w:val="28"/>
        </w:rPr>
        <w:t>5.3 Conclusion node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0F2F1"/>
          </w:tcPr>
          <w:p>
            <w:r>
              <w:rPr>
                <w:b/>
                <w:color w:val="008B8B"/>
                <w:sz w:val="22"/>
              </w:rPr>
              <w:t>CONCL — Conclusion</w:t>
            </w:r>
          </w:p>
          <w:p>
            <w:r>
              <w:rPr>
                <w:sz w:val="20"/>
              </w:rPr>
              <w:t>Provisional acceptance for OE-1 (lab supervised) only, contingent on closure of: GAP-10218-03 (E-Stop architecture), GAP-13849-02 (PL evidence), GAP-13482-01 (force/energy), GAP-13849-03 (validation), GAP-BMS-01 (battery gate). Deployment to OE-2/3/4 BLOCKED.</w:t>
            </w:r>
          </w:p>
        </w:tc>
      </w:tr>
    </w:tbl>
    <w:p/>
    <w:p>
      <w:r>
        <w:br w:type="page"/>
      </w:r>
    </w:p>
    <w:p>
      <w:pPr>
        <w:spacing w:after="160"/>
      </w:pPr>
      <w:r>
        <w:rPr>
          <w:b/>
          <w:color w:val="1F2D4D"/>
          <w:sz w:val="40"/>
        </w:rPr>
        <w:t>6. Functional Safety Concept — Safety Functions</w:t>
      </w:r>
    </w:p>
    <w:p>
      <w:pPr>
        <w:spacing w:after="120"/>
      </w:pPr>
      <w:r>
        <w:rPr>
          <w:sz w:val="22"/>
        </w:rPr>
        <w:t>Twenty-five safety functions are declared. Each is allocated to a hardware/software/procedural owner and assigned a Required Performance Level per ISO 13849-1. The full FSC sits in tab 09 of the workbook; selected high-PL functions are summarised below.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020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SF ID</w:t>
            </w:r>
          </w:p>
        </w:tc>
        <w:tc>
          <w:tcPr>
            <w:tcW w:type="dxa" w:w="3969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Function</w:t>
            </w:r>
          </w:p>
        </w:tc>
        <w:tc>
          <w:tcPr>
            <w:tcW w:type="dxa" w:w="680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PLr</w:t>
            </w:r>
          </w:p>
        </w:tc>
        <w:tc>
          <w:tcPr>
            <w:tcW w:type="dxa" w:w="567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Cat</w:t>
            </w:r>
          </w:p>
        </w:tc>
        <w:tc>
          <w:tcPr>
            <w:tcW w:type="dxa" w:w="1134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Reaction</w:t>
            </w:r>
          </w:p>
        </w:tc>
        <w:tc>
          <w:tcPr>
            <w:tcW w:type="dxa" w:w="2551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Allocation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SF-01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Maintain bipedal stability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d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≤ 20 ms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Loco. policy + IMU + MCB</w:t>
            </w:r>
          </w:p>
        </w:tc>
      </w:tr>
      <w:tr>
        <w:tc>
          <w:tcPr>
            <w:tcW w:type="dxa" w:w="1020"/>
            <w:shd w:val="clear" w:color="auto" w:fill="F4F6F8"/>
          </w:tcPr>
          <w:p>
            <w:r/>
            <w:r>
              <w:rPr>
                <w:sz w:val="18"/>
              </w:rPr>
              <w:t>SF-02</w:t>
            </w:r>
          </w:p>
        </w:tc>
        <w:tc>
          <w:tcPr>
            <w:tcW w:type="dxa" w:w="3969"/>
            <w:shd w:val="clear" w:color="auto" w:fill="F4F6F8"/>
          </w:tcPr>
          <w:p>
            <w:r/>
            <w:r>
              <w:rPr>
                <w:sz w:val="18"/>
              </w:rPr>
              <w:t>Detect &amp; arrest impending fall (controlled descent)</w:t>
            </w:r>
          </w:p>
        </w:tc>
        <w:tc>
          <w:tcPr>
            <w:tcW w:type="dxa" w:w="680"/>
            <w:shd w:val="clear" w:color="auto" w:fill="F4F6F8"/>
          </w:tcPr>
          <w:p>
            <w:r/>
            <w:r>
              <w:rPr>
                <w:sz w:val="18"/>
              </w:rPr>
              <w:t>d</w:t>
            </w:r>
          </w:p>
        </w:tc>
        <w:tc>
          <w:tcPr>
            <w:tcW w:type="dxa" w:w="567"/>
            <w:shd w:val="clear" w:color="auto" w:fill="F4F6F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  <w:shd w:val="clear" w:color="auto" w:fill="F4F6F8"/>
          </w:tcPr>
          <w:p>
            <w:r/>
            <w:r>
              <w:rPr>
                <w:sz w:val="18"/>
              </w:rPr>
              <w:t>≤ 200 ms</w:t>
            </w:r>
          </w:p>
        </w:tc>
        <w:tc>
          <w:tcPr>
            <w:tcW w:type="dxa" w:w="2551"/>
            <w:shd w:val="clear" w:color="auto" w:fill="F4F6F8"/>
          </w:tcPr>
          <w:p>
            <w:r/>
            <w:r>
              <w:rPr>
                <w:sz w:val="18"/>
              </w:rPr>
              <w:t>MCB + IMU + actuators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SF-03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Joint torque/velocity limit per joint (per TS 15066)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d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≤ 10 ms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MCB FW + drive limits</w:t>
            </w:r>
          </w:p>
        </w:tc>
      </w:tr>
      <w:tr>
        <w:tc>
          <w:tcPr>
            <w:tcW w:type="dxa" w:w="1020"/>
            <w:shd w:val="clear" w:color="auto" w:fill="F4F6F8"/>
          </w:tcPr>
          <w:p>
            <w:r/>
            <w:r>
              <w:rPr>
                <w:sz w:val="18"/>
              </w:rPr>
              <w:t>SF-04</w:t>
            </w:r>
          </w:p>
        </w:tc>
        <w:tc>
          <w:tcPr>
            <w:tcW w:type="dxa" w:w="3969"/>
            <w:shd w:val="clear" w:color="auto" w:fill="F4F6F8"/>
          </w:tcPr>
          <w:p>
            <w:r/>
            <w:r>
              <w:rPr>
                <w:sz w:val="18"/>
              </w:rPr>
              <w:t>Force-limited contact in collaborative regions</w:t>
            </w:r>
          </w:p>
        </w:tc>
        <w:tc>
          <w:tcPr>
            <w:tcW w:type="dxa" w:w="680"/>
            <w:shd w:val="clear" w:color="auto" w:fill="F4F6F8"/>
          </w:tcPr>
          <w:p>
            <w:r/>
            <w:r>
              <w:rPr>
                <w:sz w:val="18"/>
              </w:rPr>
              <w:t>d</w:t>
            </w:r>
          </w:p>
        </w:tc>
        <w:tc>
          <w:tcPr>
            <w:tcW w:type="dxa" w:w="567"/>
            <w:shd w:val="clear" w:color="auto" w:fill="F4F6F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  <w:shd w:val="clear" w:color="auto" w:fill="F4F6F8"/>
          </w:tcPr>
          <w:p>
            <w:r/>
            <w:r>
              <w:rPr>
                <w:sz w:val="18"/>
              </w:rPr>
              <w:t>≤ 100 ms</w:t>
            </w:r>
          </w:p>
        </w:tc>
        <w:tc>
          <w:tcPr>
            <w:tcW w:type="dxa" w:w="2551"/>
            <w:shd w:val="clear" w:color="auto" w:fill="F4F6F8"/>
          </w:tcPr>
          <w:p>
            <w:r/>
            <w:r>
              <w:rPr>
                <w:sz w:val="18"/>
              </w:rPr>
              <w:t>MCB FW + sensorised links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SF-08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Safe-stop on watchdog timeout (Cat 1 stop)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d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≤ 100 ms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MCB watchdog</w:t>
            </w:r>
          </w:p>
        </w:tc>
      </w:tr>
      <w:tr>
        <w:tc>
          <w:tcPr>
            <w:tcW w:type="dxa" w:w="1020"/>
            <w:shd w:val="clear" w:color="auto" w:fill="F4F6F8"/>
          </w:tcPr>
          <w:p>
            <w:r/>
            <w:r>
              <w:rPr>
                <w:sz w:val="18"/>
              </w:rPr>
              <w:t>SF-13</w:t>
            </w:r>
          </w:p>
        </w:tc>
        <w:tc>
          <w:tcPr>
            <w:tcW w:type="dxa" w:w="3969"/>
            <w:shd w:val="clear" w:color="auto" w:fill="F4F6F8"/>
          </w:tcPr>
          <w:p>
            <w:r/>
            <w:r>
              <w:rPr>
                <w:sz w:val="18"/>
              </w:rPr>
              <w:t>Wireless E-Stop link surveillance + heartbeat</w:t>
            </w:r>
          </w:p>
        </w:tc>
        <w:tc>
          <w:tcPr>
            <w:tcW w:type="dxa" w:w="680"/>
            <w:shd w:val="clear" w:color="auto" w:fill="F4F6F8"/>
          </w:tcPr>
          <w:p>
            <w:r/>
            <w:r>
              <w:rPr>
                <w:sz w:val="18"/>
              </w:rPr>
              <w:t>d</w:t>
            </w:r>
          </w:p>
        </w:tc>
        <w:tc>
          <w:tcPr>
            <w:tcW w:type="dxa" w:w="567"/>
            <w:shd w:val="clear" w:color="auto" w:fill="F4F6F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  <w:shd w:val="clear" w:color="auto" w:fill="F4F6F8"/>
          </w:tcPr>
          <w:p>
            <w:r/>
            <w:r>
              <w:rPr>
                <w:sz w:val="18"/>
              </w:rPr>
              <w:t>≤ 500 ms</w:t>
            </w:r>
          </w:p>
        </w:tc>
        <w:tc>
          <w:tcPr>
            <w:tcW w:type="dxa" w:w="2551"/>
            <w:shd w:val="clear" w:color="auto" w:fill="F4F6F8"/>
          </w:tcPr>
          <w:p>
            <w:r/>
            <w:r>
              <w:rPr>
                <w:sz w:val="18"/>
              </w:rPr>
              <w:t>E-Stop receiver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SF-15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Battery thermal &amp; cell-voltage protection (BMS)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e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≤ 1 s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BMS (user-supplied)</w:t>
            </w:r>
          </w:p>
        </w:tc>
      </w:tr>
      <w:tr>
        <w:tc>
          <w:tcPr>
            <w:tcW w:type="dxa" w:w="1020"/>
            <w:shd w:val="clear" w:color="auto" w:fill="F4F6F8"/>
          </w:tcPr>
          <w:p>
            <w:r/>
            <w:r>
              <w:rPr>
                <w:sz w:val="18"/>
              </w:rPr>
              <w:t>SF-20</w:t>
            </w:r>
          </w:p>
        </w:tc>
        <w:tc>
          <w:tcPr>
            <w:tcW w:type="dxa" w:w="3969"/>
            <w:shd w:val="clear" w:color="auto" w:fill="F4F6F8"/>
          </w:tcPr>
          <w:p>
            <w:r/>
            <w:r>
              <w:rPr>
                <w:sz w:val="18"/>
              </w:rPr>
              <w:t>Power-and-Force Limiting per ISO/TS 15066</w:t>
            </w:r>
          </w:p>
        </w:tc>
        <w:tc>
          <w:tcPr>
            <w:tcW w:type="dxa" w:w="680"/>
            <w:shd w:val="clear" w:color="auto" w:fill="F4F6F8"/>
          </w:tcPr>
          <w:p>
            <w:r/>
            <w:r>
              <w:rPr>
                <w:sz w:val="18"/>
              </w:rPr>
              <w:t>d</w:t>
            </w:r>
          </w:p>
        </w:tc>
        <w:tc>
          <w:tcPr>
            <w:tcW w:type="dxa" w:w="567"/>
            <w:shd w:val="clear" w:color="auto" w:fill="F4F6F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  <w:shd w:val="clear" w:color="auto" w:fill="F4F6F8"/>
          </w:tcPr>
          <w:p>
            <w:r/>
            <w:r>
              <w:rPr>
                <w:sz w:val="18"/>
              </w:rPr>
              <w:t>≤ 100 ms</w:t>
            </w:r>
          </w:p>
        </w:tc>
        <w:tc>
          <w:tcPr>
            <w:tcW w:type="dxa" w:w="2551"/>
            <w:shd w:val="clear" w:color="auto" w:fill="F4F6F8"/>
          </w:tcPr>
          <w:p>
            <w:r/>
            <w:r>
              <w:rPr>
                <w:sz w:val="18"/>
              </w:rPr>
              <w:t>MCB FW + design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SF-23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IMU plausibility &amp; cross-check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d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≤ 50 ms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MCB FW</w:t>
            </w:r>
          </w:p>
        </w:tc>
      </w:tr>
      <w:tr>
        <w:tc>
          <w:tcPr>
            <w:tcW w:type="dxa" w:w="1020"/>
            <w:shd w:val="clear" w:color="auto" w:fill="F4F6F8"/>
          </w:tcPr>
          <w:p>
            <w:r/>
            <w:r>
              <w:rPr>
                <w:sz w:val="18"/>
              </w:rPr>
              <w:t>SF-24</w:t>
            </w:r>
          </w:p>
        </w:tc>
        <w:tc>
          <w:tcPr>
            <w:tcW w:type="dxa" w:w="3969"/>
            <w:shd w:val="clear" w:color="auto" w:fill="F4F6F8"/>
          </w:tcPr>
          <w:p>
            <w:r/>
            <w:r>
              <w:rPr>
                <w:sz w:val="18"/>
              </w:rPr>
              <w:t>Real-time scheduler watchdog &amp; deadline monitor</w:t>
            </w:r>
          </w:p>
        </w:tc>
        <w:tc>
          <w:tcPr>
            <w:tcW w:type="dxa" w:w="680"/>
            <w:shd w:val="clear" w:color="auto" w:fill="F4F6F8"/>
          </w:tcPr>
          <w:p>
            <w:r/>
            <w:r>
              <w:rPr>
                <w:sz w:val="18"/>
              </w:rPr>
              <w:t>d</w:t>
            </w:r>
          </w:p>
        </w:tc>
        <w:tc>
          <w:tcPr>
            <w:tcW w:type="dxa" w:w="567"/>
            <w:shd w:val="clear" w:color="auto" w:fill="F4F6F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  <w:shd w:val="clear" w:color="auto" w:fill="F4F6F8"/>
          </w:tcPr>
          <w:p>
            <w:r/>
            <w:r>
              <w:rPr>
                <w:sz w:val="18"/>
              </w:rPr>
              <w:t>≤ 50 ms</w:t>
            </w:r>
          </w:p>
        </w:tc>
        <w:tc>
          <w:tcPr>
            <w:tcW w:type="dxa" w:w="2551"/>
            <w:shd w:val="clear" w:color="auto" w:fill="F4F6F8"/>
          </w:tcPr>
          <w:p>
            <w:r/>
            <w:r>
              <w:rPr>
                <w:sz w:val="18"/>
              </w:rPr>
              <w:t>MCB FW</w:t>
            </w:r>
          </w:p>
        </w:tc>
      </w:tr>
    </w:tbl>
    <w:p/>
    <w:p>
      <w:pPr>
        <w:spacing w:after="120"/>
      </w:pPr>
      <w:r>
        <w:rPr>
          <w:i/>
          <w:sz w:val="22"/>
        </w:rPr>
        <w:t>Of these, SF-15 (BMS) requires PL e / Cat 4 — currently delegated to a user-supplied battery pack with no compliance gate, the single largest residual risk. SF-13 (wireless E-Stop) is declared but the underlying architecture and link-surveillance scheme is not published.</w:t>
      </w:r>
    </w:p>
    <w:p>
      <w:r>
        <w:br w:type="page"/>
      </w:r>
    </w:p>
    <w:p>
      <w:pPr>
        <w:spacing w:after="160"/>
      </w:pPr>
      <w:r>
        <w:rPr>
          <w:b/>
          <w:color w:val="1F2D4D"/>
          <w:sz w:val="40"/>
        </w:rPr>
        <w:t>7. Residual Risk and Deployment Guidance</w:t>
      </w:r>
    </w:p>
    <w:p>
      <w:pPr>
        <w:spacing w:after="120"/>
      </w:pPr>
      <w:r>
        <w:rPr>
          <w:sz w:val="22"/>
        </w:rPr>
        <w:t>Residual risk after concept-level safety functions remains High or Very-High for five hazards (see §4.3). Deployment guidance is therefore conditional on the operational envelope:</w:t>
      </w:r>
    </w:p>
    <w:p>
      <w:pPr>
        <w:spacing w:before="280" w:after="80"/>
      </w:pPr>
      <w:r>
        <w:rPr>
          <w:b/>
          <w:color w:val="1F2D4D"/>
          <w:sz w:val="28"/>
        </w:rPr>
        <w:t>7.1 OE-1 Lab (supervised)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5E9"/>
          </w:tcPr>
          <w:p>
            <w:r>
              <w:rPr>
                <w:b/>
                <w:color w:val="2E7D32"/>
                <w:sz w:val="22"/>
              </w:rPr>
              <w:t>Provisionally permitted</w:t>
            </w:r>
          </w:p>
          <w:p>
            <w:r>
              <w:rPr>
                <w:sz w:val="20"/>
              </w:rPr>
              <w:t>Tethered or fixtured operation, trained operator within wireless E-Stop range, no bystanders, indoor +20–25 °C, level dry surface, demonstration speed only. Builder must verify all 7 assumptions in §2.5 and have a working DAMP fallback.</w:t>
            </w:r>
          </w:p>
        </w:tc>
      </w:tr>
    </w:tbl>
    <w:p/>
    <w:p>
      <w:pPr>
        <w:spacing w:before="280" w:after="80"/>
      </w:pPr>
      <w:r>
        <w:rPr>
          <w:b/>
          <w:color w:val="1F2D4D"/>
          <w:sz w:val="28"/>
        </w:rPr>
        <w:t>7.2 OE-2 Industrial cobot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r>
              <w:rPr>
                <w:b/>
                <w:color w:val="C77800"/>
                <w:sz w:val="22"/>
              </w:rPr>
              <w:t>Not yet permitted — 12 gaps to close</w:t>
            </w:r>
          </w:p>
          <w:p>
            <w:r>
              <w:rPr>
                <w:sz w:val="20"/>
              </w:rPr>
              <w:t>Requires closure of GAP-10218-01/02/03 (single-fault tolerance, PLd Cat 3 validation, E-Stop architecture), GAP-15066-01 (PFL thresholds), GAP-13849-02/03 (PL evidence and validation), GAP-13482-01/02 (force/energy and speed declaration), GAP-DOC-01 (assembly/safety manual), GAP-BMS-01 (battery gate), GAP-LP-01 (locomotion policy), GAP-API-01 (API stability).</w:t>
            </w:r>
          </w:p>
        </w:tc>
      </w:tr>
    </w:tbl>
    <w:p/>
    <w:p>
      <w:pPr>
        <w:spacing w:before="280" w:after="80"/>
      </w:pPr>
      <w:r>
        <w:rPr>
          <w:b/>
          <w:color w:val="1F2D4D"/>
          <w:sz w:val="28"/>
        </w:rPr>
        <w:t>7.3 OE-3 Home / consumer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4E5"/>
          </w:tcPr>
          <w:p>
            <w:r>
              <w:rPr>
                <w:b/>
                <w:color w:val="C77800"/>
                <w:sz w:val="22"/>
              </w:rPr>
              <w:t>Not yet permitted — 19 gaps to close</w:t>
            </w:r>
          </w:p>
          <w:p>
            <w:r>
              <w:rPr>
                <w:sz w:val="20"/>
              </w:rPr>
              <w:t>Adds all of OE-2 plus ISO 13482 §5.13 stability under person-leaning, §5.7 contact energy with untrained users including children/pets, environmental robustness (no IP rating), cyber authentication for tele-op, and full ISO 9001 quality system. The locomotion policy must be verified for the long tail of household scenarios.</w:t>
            </w:r>
          </w:p>
        </w:tc>
      </w:tr>
    </w:tbl>
    <w:p/>
    <w:p>
      <w:pPr>
        <w:spacing w:before="280" w:after="80"/>
      </w:pPr>
      <w:r>
        <w:rPr>
          <w:b/>
          <w:color w:val="1F2D4D"/>
          <w:sz w:val="28"/>
        </w:rPr>
        <w:t>7.4 OE-4 Public space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EBEE"/>
          </w:tcPr>
          <w:p>
            <w:r>
              <w:rPr>
                <w:b/>
                <w:color w:val="B22222"/>
                <w:sz w:val="22"/>
              </w:rPr>
              <w:t>Not permitted at any near-term revision — 21 gaps</w:t>
            </w:r>
          </w:p>
          <w:p>
            <w:r>
              <w:rPr>
                <w:sz w:val="20"/>
              </w:rPr>
              <w:t>Free-roaming around the public is the highest-hazard envelope ISO 13482 covers. In addition to all OE-3 gaps, the project would need: weather/IP rating, GNSS/odometry fault tolerance, dynamic obstacle avoidance with verified worst-case latency, regulatory engagement (CE / FCC / national robotics frameworks), liability insurance, and an incident-reporting system. Recommend explicit prohibition in the v1 manual.</w:t>
            </w:r>
          </w:p>
        </w:tc>
      </w:tr>
    </w:tbl>
    <w:p/>
    <w:p>
      <w:r>
        <w:br w:type="page"/>
      </w:r>
    </w:p>
    <w:p>
      <w:pPr>
        <w:spacing w:after="160"/>
      </w:pPr>
      <w:r>
        <w:rPr>
          <w:b/>
          <w:color w:val="1F2D4D"/>
          <w:sz w:val="40"/>
        </w:rPr>
        <w:t>8. Gap Register — top 12 gaps to close</w:t>
      </w:r>
    </w:p>
    <w:p>
      <w:pPr>
        <w:spacing w:after="120"/>
      </w:pPr>
      <w:r>
        <w:rPr>
          <w:sz w:val="22"/>
        </w:rPr>
        <w:t>Twenty-eight gaps are tracked in tab 12 of the workbook. The top 12 by severity are summarised here; closing these unlocks OE-1 deployment unconditionally and OE-2 conditionally.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17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1984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Standard / clause</w:t>
            </w:r>
          </w:p>
        </w:tc>
        <w:tc>
          <w:tcPr>
            <w:tcW w:type="dxa" w:w="4819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417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Severity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GAP-13482-04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ISO 13482 §5.16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Wireless E-Stop architecture, latency, link surveillance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VERY HIGH</w:t>
            </w:r>
          </w:p>
        </w:tc>
      </w:tr>
      <w:tr>
        <w:tc>
          <w:tcPr>
            <w:tcW w:type="dxa" w:w="1417"/>
            <w:shd w:val="clear" w:color="auto" w:fill="F4F6F8"/>
          </w:tcPr>
          <w:p>
            <w:r/>
            <w:r>
              <w:rPr>
                <w:sz w:val="18"/>
              </w:rPr>
              <w:t>GAP-10218-03</w:t>
            </w:r>
          </w:p>
        </w:tc>
        <w:tc>
          <w:tcPr>
            <w:tcW w:type="dxa" w:w="1984"/>
            <w:shd w:val="clear" w:color="auto" w:fill="F4F6F8"/>
          </w:tcPr>
          <w:p>
            <w:r/>
            <w:r>
              <w:rPr>
                <w:sz w:val="18"/>
              </w:rPr>
              <w:t>ISO 10218-1 §5.5.3</w:t>
            </w:r>
          </w:p>
        </w:tc>
        <w:tc>
          <w:tcPr>
            <w:tcW w:type="dxa" w:w="4819"/>
            <w:shd w:val="clear" w:color="auto" w:fill="F4F6F8"/>
          </w:tcPr>
          <w:p>
            <w:r/>
            <w:r>
              <w:rPr>
                <w:sz w:val="18"/>
              </w:rPr>
              <w:t>E-Stop architecture (Cat 0/1, dual-channel)</w:t>
            </w:r>
          </w:p>
        </w:tc>
        <w:tc>
          <w:tcPr>
            <w:tcW w:type="dxa" w:w="1417"/>
            <w:shd w:val="clear" w:color="auto" w:fill="F4F6F8"/>
          </w:tcPr>
          <w:p>
            <w:r/>
            <w:r>
              <w:rPr>
                <w:sz w:val="18"/>
              </w:rPr>
              <w:t>VERY HIGH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GAP-13849-02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ISO 13849-1 §7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MTTFD/DC/CCF figures absent — PL cannot be computed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VERY HIGH</w:t>
            </w:r>
          </w:p>
        </w:tc>
      </w:tr>
      <w:tr>
        <w:tc>
          <w:tcPr>
            <w:tcW w:type="dxa" w:w="1417"/>
            <w:shd w:val="clear" w:color="auto" w:fill="F4F6F8"/>
          </w:tcPr>
          <w:p>
            <w:r/>
            <w:r>
              <w:rPr>
                <w:sz w:val="18"/>
              </w:rPr>
              <w:t>GAP-13849-03</w:t>
            </w:r>
          </w:p>
        </w:tc>
        <w:tc>
          <w:tcPr>
            <w:tcW w:type="dxa" w:w="1984"/>
            <w:shd w:val="clear" w:color="auto" w:fill="F4F6F8"/>
          </w:tcPr>
          <w:p>
            <w:r/>
            <w:r>
              <w:rPr>
                <w:sz w:val="18"/>
              </w:rPr>
              <w:t>ISO 13849-2</w:t>
            </w:r>
          </w:p>
        </w:tc>
        <w:tc>
          <w:tcPr>
            <w:tcW w:type="dxa" w:w="4819"/>
            <w:shd w:val="clear" w:color="auto" w:fill="F4F6F8"/>
          </w:tcPr>
          <w:p>
            <w:r/>
            <w:r>
              <w:rPr>
                <w:sz w:val="18"/>
              </w:rPr>
              <w:t>Validation plan &amp; test report missing</w:t>
            </w:r>
          </w:p>
        </w:tc>
        <w:tc>
          <w:tcPr>
            <w:tcW w:type="dxa" w:w="1417"/>
            <w:shd w:val="clear" w:color="auto" w:fill="F4F6F8"/>
          </w:tcPr>
          <w:p>
            <w:r/>
            <w:r>
              <w:rPr>
                <w:sz w:val="18"/>
              </w:rPr>
              <w:t>VERY HIGH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GAP-13482-01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ISO 13482 §5.7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Force/energy limits not declared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VERY HIGH</w:t>
            </w:r>
          </w:p>
        </w:tc>
      </w:tr>
      <w:tr>
        <w:tc>
          <w:tcPr>
            <w:tcW w:type="dxa" w:w="1417"/>
            <w:shd w:val="clear" w:color="auto" w:fill="F4F6F8"/>
          </w:tcPr>
          <w:p>
            <w:r/>
            <w:r>
              <w:rPr>
                <w:sz w:val="18"/>
              </w:rPr>
              <w:t>GAP-13482-05</w:t>
            </w:r>
          </w:p>
        </w:tc>
        <w:tc>
          <w:tcPr>
            <w:tcW w:type="dxa" w:w="1984"/>
            <w:shd w:val="clear" w:color="auto" w:fill="F4F6F8"/>
          </w:tcPr>
          <w:p>
            <w:r/>
            <w:r>
              <w:rPr>
                <w:sz w:val="18"/>
              </w:rPr>
              <w:t>ISO 13482 §6</w:t>
            </w:r>
          </w:p>
        </w:tc>
        <w:tc>
          <w:tcPr>
            <w:tcW w:type="dxa" w:w="4819"/>
            <w:shd w:val="clear" w:color="auto" w:fill="F4F6F8"/>
          </w:tcPr>
          <w:p>
            <w:r/>
            <w:r>
              <w:rPr>
                <w:sz w:val="18"/>
              </w:rPr>
              <w:t>Safety-related control-system implementation gaps</w:t>
            </w:r>
          </w:p>
        </w:tc>
        <w:tc>
          <w:tcPr>
            <w:tcW w:type="dxa" w:w="1417"/>
            <w:shd w:val="clear" w:color="auto" w:fill="F4F6F8"/>
          </w:tcPr>
          <w:p>
            <w:r/>
            <w:r>
              <w:rPr>
                <w:sz w:val="18"/>
              </w:rPr>
              <w:t>VERY HIGH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GAP-13482-06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ISO 13482 §7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V&amp;V plan and report not produced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VERY HIGH</w:t>
            </w:r>
          </w:p>
        </w:tc>
      </w:tr>
      <w:tr>
        <w:tc>
          <w:tcPr>
            <w:tcW w:type="dxa" w:w="1417"/>
            <w:shd w:val="clear" w:color="auto" w:fill="F4F6F8"/>
          </w:tcPr>
          <w:p>
            <w:r/>
            <w:r>
              <w:rPr>
                <w:sz w:val="18"/>
              </w:rPr>
              <w:t>GAP-13849-01</w:t>
            </w:r>
          </w:p>
        </w:tc>
        <w:tc>
          <w:tcPr>
            <w:tcW w:type="dxa" w:w="1984"/>
            <w:shd w:val="clear" w:color="auto" w:fill="F4F6F8"/>
          </w:tcPr>
          <w:p>
            <w:r/>
            <w:r>
              <w:rPr>
                <w:sz w:val="18"/>
              </w:rPr>
              <w:t>ISO 13849-1 §6</w:t>
            </w:r>
          </w:p>
        </w:tc>
        <w:tc>
          <w:tcPr>
            <w:tcW w:type="dxa" w:w="4819"/>
            <w:shd w:val="clear" w:color="auto" w:fill="F4F6F8"/>
          </w:tcPr>
          <w:p>
            <w:r/>
            <w:r>
              <w:rPr>
                <w:sz w:val="18"/>
              </w:rPr>
              <w:t>Cat 3 redundancy not implemented for 10 SFs</w:t>
            </w:r>
          </w:p>
        </w:tc>
        <w:tc>
          <w:tcPr>
            <w:tcW w:type="dxa" w:w="1417"/>
            <w:shd w:val="clear" w:color="auto" w:fill="F4F6F8"/>
          </w:tcPr>
          <w:p>
            <w:r/>
            <w:r>
              <w:rPr>
                <w:sz w:val="18"/>
              </w:rPr>
              <w:t>VERY HIGH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GAP-BMS-01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IEC 62133-2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Battery is user-supplied — no compliance gate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VERY HIGH</w:t>
            </w:r>
          </w:p>
        </w:tc>
      </w:tr>
      <w:tr>
        <w:tc>
          <w:tcPr>
            <w:tcW w:type="dxa" w:w="1417"/>
            <w:shd w:val="clear" w:color="auto" w:fill="F4F6F8"/>
          </w:tcPr>
          <w:p>
            <w:r/>
            <w:r>
              <w:rPr>
                <w:sz w:val="18"/>
              </w:rPr>
              <w:t>GAP-LP-01</w:t>
            </w:r>
          </w:p>
        </w:tc>
        <w:tc>
          <w:tcPr>
            <w:tcW w:type="dxa" w:w="1984"/>
            <w:shd w:val="clear" w:color="auto" w:fill="F4F6F8"/>
          </w:tcPr>
          <w:p>
            <w:r/>
            <w:r>
              <w:rPr>
                <w:sz w:val="18"/>
              </w:rPr>
              <w:t>(this case)</w:t>
            </w:r>
          </w:p>
        </w:tc>
        <w:tc>
          <w:tcPr>
            <w:tcW w:type="dxa" w:w="4819"/>
            <w:shd w:val="clear" w:color="auto" w:fill="F4F6F8"/>
          </w:tcPr>
          <w:p>
            <w:r/>
            <w:r>
              <w:rPr>
                <w:sz w:val="18"/>
              </w:rPr>
              <w:t>Locomotion policy unreleased</w:t>
            </w:r>
          </w:p>
        </w:tc>
        <w:tc>
          <w:tcPr>
            <w:tcW w:type="dxa" w:w="1417"/>
            <w:shd w:val="clear" w:color="auto" w:fill="F4F6F8"/>
          </w:tcPr>
          <w:p>
            <w:r/>
            <w:r>
              <w:rPr>
                <w:sz w:val="18"/>
              </w:rPr>
              <w:t>VERY HIGH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GAP-12100-01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ISO 12100 §6.4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Adequacy-of-risk-reduction record absent for 18 hazards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417"/>
            <w:shd w:val="clear" w:color="auto" w:fill="F4F6F8"/>
          </w:tcPr>
          <w:p>
            <w:r/>
            <w:r>
              <w:rPr>
                <w:sz w:val="18"/>
              </w:rPr>
              <w:t>GAP-DOC-01</w:t>
            </w:r>
          </w:p>
        </w:tc>
        <w:tc>
          <w:tcPr>
            <w:tcW w:type="dxa" w:w="1984"/>
            <w:shd w:val="clear" w:color="auto" w:fill="F4F6F8"/>
          </w:tcPr>
          <w:p>
            <w:r/>
            <w:r>
              <w:rPr>
                <w:sz w:val="18"/>
              </w:rPr>
              <w:t>(this case)</w:t>
            </w:r>
          </w:p>
        </w:tc>
        <w:tc>
          <w:tcPr>
            <w:tcW w:type="dxa" w:w="4819"/>
            <w:shd w:val="clear" w:color="auto" w:fill="F4F6F8"/>
          </w:tcPr>
          <w:p>
            <w:r/>
            <w:r>
              <w:rPr>
                <w:sz w:val="18"/>
              </w:rPr>
              <w:t>Manual /v1/safety, /v1/quickstart, /v1/bom return 404</w:t>
            </w:r>
          </w:p>
        </w:tc>
        <w:tc>
          <w:tcPr>
            <w:tcW w:type="dxa" w:w="1417"/>
            <w:shd w:val="clear" w:color="auto" w:fill="F4F6F8"/>
          </w:tcPr>
          <w:p>
            <w:r/>
            <w:r>
              <w:rPr>
                <w:sz w:val="18"/>
              </w:rPr>
              <w:t>HIGH</w:t>
            </w:r>
          </w:p>
        </w:tc>
      </w:tr>
    </w:tbl>
    <w:p/>
    <w:p>
      <w:r>
        <w:br w:type="page"/>
      </w:r>
    </w:p>
    <w:p>
      <w:pPr>
        <w:spacing w:after="160"/>
      </w:pPr>
      <w:r>
        <w:rPr>
          <w:b/>
          <w:color w:val="1F2D4D"/>
          <w:sz w:val="40"/>
        </w:rPr>
        <w:t>9. Conclusion</w:t>
      </w:r>
    </w:p>
    <w:p>
      <w:pPr>
        <w:spacing w:after="120"/>
      </w:pPr>
      <w:r>
        <w:rPr>
          <w:sz w:val="22"/>
        </w:rPr>
        <w:t>Asimov v1 is a serious, well-structured open-source robotics project. The mechanical CAD release, fab-ready KiCad sources, and MuJoCo simulation model establish a credible foundation. However, the safety-relevant evidence base — HARA, FMEA, FMEDA, control-system PL validation, E-Stop architecture, battery management, locomotion-policy verification, and quality-management records — is not yet present in the public release. This concept-phase safety case provides a scaffolded argument over what does exist and a register of what does not.</w:t>
      </w:r>
    </w:p>
    <w:p>
      <w:pPr>
        <w:spacing w:after="120"/>
      </w:pPr>
      <w:r>
        <w:rPr>
          <w:sz w:val="22"/>
        </w:rPr>
        <w:t>Provisional acceptance is granted for OE-1 (research-lab, supervised, tethered) only. Deployment to industrial, home, or public-space environments is not recommended pending closure of the gaps identified.</w:t>
      </w:r>
    </w:p>
    <w:p>
      <w:pPr>
        <w:spacing w:before="280" w:after="80"/>
      </w:pPr>
      <w:r>
        <w:rPr>
          <w:b/>
          <w:color w:val="1F2D4D"/>
          <w:sz w:val="28"/>
        </w:rPr>
        <w:t>9.1 Recommended next-revision actions</w:t>
      </w:r>
    </w:p>
    <w:p>
      <w:pPr>
        <w:spacing w:after="80"/>
      </w:pPr>
      <w:r>
        <w:rPr>
          <w:b/>
        </w:rPr>
        <w:t xml:space="preserve">1. </w:t>
      </w:r>
      <w:r>
        <w:t>Publish wireless E-Stop architecture (Cat 1 stop, dual-channel, link surveillance, fault-reaction time) per ISO 13849-1 / ISO 13482 §5.16.</w:t>
      </w:r>
    </w:p>
    <w:p>
      <w:pPr>
        <w:spacing w:after="80"/>
      </w:pPr>
      <w:r>
        <w:rPr>
          <w:b/>
        </w:rPr>
        <w:t xml:space="preserve">2. </w:t>
      </w:r>
      <w:r>
        <w:t>Declare joint torque, velocity and momentum limits per joint, with verification report, per ISO 13482 §5.10.</w:t>
      </w:r>
    </w:p>
    <w:p>
      <w:pPr>
        <w:spacing w:after="80"/>
      </w:pPr>
      <w:r>
        <w:rPr>
          <w:b/>
        </w:rPr>
        <w:t xml:space="preserve">3. </w:t>
      </w:r>
      <w:r>
        <w:t>Publish a power-and-force-limiting (PFL) measurement campaign per ISO/TS 15066 for any planned cobot use.</w:t>
      </w:r>
    </w:p>
    <w:p>
      <w:pPr>
        <w:spacing w:after="80"/>
      </w:pPr>
      <w:r>
        <w:rPr>
          <w:b/>
        </w:rPr>
        <w:t xml:space="preserve">4. </w:t>
      </w:r>
      <w:r>
        <w:t>Compute and publish MTTFD, DC, and CCF for each safety-rated control channel; demonstrate PL achieved per ISO 13849-1 §7.</w:t>
      </w:r>
    </w:p>
    <w:p>
      <w:pPr>
        <w:spacing w:after="80"/>
      </w:pPr>
      <w:r>
        <w:rPr>
          <w:b/>
        </w:rPr>
        <w:t xml:space="preserve">5. </w:t>
      </w:r>
      <w:r>
        <w:t>Issue an ISO 13849-2 validation plan and test report covering the 25 safety functions.</w:t>
      </w:r>
    </w:p>
    <w:p>
      <w:pPr>
        <w:spacing w:after="80"/>
      </w:pPr>
      <w:r>
        <w:rPr>
          <w:b/>
        </w:rPr>
        <w:t xml:space="preserve">6. </w:t>
      </w:r>
      <w:r>
        <w:t>Gate the DIY kit against a list of pre-qualified Li-ion packs that meet UN 38.3 and IEC 62133-2 with a compliant BMS.</w:t>
      </w:r>
    </w:p>
    <w:p>
      <w:pPr>
        <w:spacing w:after="80"/>
      </w:pPr>
      <w:r>
        <w:rPr>
          <w:b/>
        </w:rPr>
        <w:t xml:space="preserve">7. </w:t>
      </w:r>
      <w:r>
        <w:t>Restore manual subpages /v1/safety, /v1/quickstart, /v1/bom with explicit operating-envelope and warning content per ISO 12100 §6.5.3.</w:t>
      </w:r>
    </w:p>
    <w:p>
      <w:pPr>
        <w:spacing w:after="80"/>
      </w:pPr>
      <w:r>
        <w:rPr>
          <w:b/>
        </w:rPr>
        <w:t xml:space="preserve">8. </w:t>
      </w:r>
      <w:r>
        <w:t>Stand up an ISO 9001-aligned QMS subset: design-review records, NCR/CAR procedure, supplier control, internal audit.</w:t>
      </w:r>
    </w:p>
    <w:p>
      <w:pPr>
        <w:spacing w:after="80"/>
      </w:pPr>
      <w:r>
        <w:rPr>
          <w:b/>
        </w:rPr>
        <w:t xml:space="preserve">9. </w:t>
      </w:r>
      <w:r>
        <w:t>Verify the locomotion policy against the 32-hazard catalogue and publish a sim-to-real evidence pack including domain-randomisation coverage and worst-case-latency budgets.</w:t>
      </w:r>
    </w:p>
    <w:p>
      <w:pPr>
        <w:spacing w:after="80"/>
      </w:pPr>
      <w:r>
        <w:rPr>
          <w:b/>
        </w:rPr>
        <w:t xml:space="preserve">10. </w:t>
      </w:r>
      <w:r>
        <w:t>Specify and authenticate the tele-op channel (TLS, token, integrity protection, idle-timeout) before exposing the Asimov API.</w:t>
      </w:r>
    </w:p>
    <w:p>
      <w:pPr>
        <w:spacing w:before="280" w:after="80"/>
      </w:pPr>
      <w:r>
        <w:rPr>
          <w:b/>
          <w:color w:val="1F2D4D"/>
          <w:sz w:val="28"/>
        </w:rPr>
        <w:t>9.2 References</w:t>
      </w:r>
    </w:p>
    <w:p>
      <w:pPr>
        <w:spacing w:after="120"/>
      </w:pPr>
      <w:r>
        <w:rPr>
          <w:i/>
          <w:sz w:val="22"/>
        </w:rPr>
        <w:t>Standards: ISO 12100:2010, ISO 10218-1/-2:2011, ISO/TS 15066:2016, ISO 13849-1:2023, ISO 13849-2:2012, ISO 13482:2014, ISO 9001:2015, IEC 60204-1:2018, IEC 62133-2:2017, ISO 14971:2019 (reference). Project: github.com/jherrodthomas/asimov-v1 (fork of asimovinc/asimov-v1); manual.asimov.inc/v1. Companion workbook: Asimov_v1_Safety_Case.xlsx.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