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D4D"/>
          <w:sz w:val="72"/>
        </w:rPr>
        <w:t>reBot-DevArm B601-DM</w:t>
      </w:r>
    </w:p>
    <w:p>
      <w:pPr>
        <w:jc w:val="center"/>
      </w:pPr>
      <w:r>
        <w:rPr>
          <w:b/>
          <w:color w:val="008B8B"/>
          <w:sz w:val="36"/>
        </w:rPr>
        <w:t>PRELIMINARY SAFETY CASE — CONCEPT PHASE</w:t>
      </w:r>
    </w:p>
    <w:p>
      <w:pPr>
        <w:jc w:val="center"/>
      </w:pPr>
      <w:r>
        <w:rPr>
          <w:i/>
          <w:sz w:val="22"/>
        </w:rPr>
        <w:t>Open-Source 6-DOF Cobot Arm · 4.5 kg · 650 mm reach · 1.5 kg payload · DC 24 V</w:t>
      </w:r>
    </w:p>
    <w:p/>
    <w:p/>
    <w:p>
      <w:pPr>
        <w:spacing w:before="280" w:after="80"/>
      </w:pPr>
      <w:r>
        <w:rPr>
          <w:b/>
          <w:color w:val="1F2D4D"/>
          <w:sz w:val="28"/>
        </w:rPr>
        <w:t>Standards Framework Applied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Reference</w:t>
            </w:r>
          </w:p>
        </w:tc>
        <w:tc>
          <w:tcPr>
            <w:tcW w:type="dxa" w:w="7370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Coverage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ISO 12100:2010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Safety of machinery — risk assessment (master)</w:t>
            </w:r>
          </w:p>
        </w:tc>
      </w:tr>
      <w:tr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ISO 10218-1/-2:2011</w:t>
            </w:r>
          </w:p>
        </w:tc>
        <w:tc>
          <w:tcPr>
            <w:tcW w:type="dxa" w:w="7370"/>
            <w:shd w:val="clear" w:color="auto" w:fill="F4F6F8"/>
          </w:tcPr>
          <w:p>
            <w:r/>
            <w:r>
              <w:rPr>
                <w:sz w:val="18"/>
              </w:rPr>
              <w:t>Industrial robot safety (primary)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ISO/TS 15066:2016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Collaborative robot — PFL data</w:t>
            </w:r>
          </w:p>
        </w:tc>
      </w:tr>
      <w:tr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ISO 13849-1:2023 / -2:2012</w:t>
            </w:r>
          </w:p>
        </w:tc>
        <w:tc>
          <w:tcPr>
            <w:tcW w:type="dxa" w:w="7370"/>
            <w:shd w:val="clear" w:color="auto" w:fill="F4F6F8"/>
          </w:tcPr>
          <w:p>
            <w:r/>
            <w:r>
              <w:rPr>
                <w:sz w:val="18"/>
              </w:rPr>
              <w:t>Safety-related parts of control systems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ISO 9001:2015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Quality management</w:t>
            </w:r>
          </w:p>
        </w:tc>
      </w:tr>
      <w:tr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IEC 60204-1:2018</w:t>
            </w:r>
          </w:p>
        </w:tc>
        <w:tc>
          <w:tcPr>
            <w:tcW w:type="dxa" w:w="7370"/>
            <w:shd w:val="clear" w:color="auto" w:fill="F4F6F8"/>
          </w:tcPr>
          <w:p>
            <w:r/>
            <w:r>
              <w:rPr>
                <w:sz w:val="18"/>
              </w:rPr>
              <w:t>Electrical equipment of machines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EN 61000-6-2 / -6-3 (ref.)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EMC immunity / emissions</w:t>
            </w:r>
          </w:p>
        </w:tc>
      </w:tr>
      <w:tr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ISO 9283 (ref.)</w:t>
            </w:r>
          </w:p>
        </w:tc>
        <w:tc>
          <w:tcPr>
            <w:tcW w:type="dxa" w:w="7370"/>
            <w:shd w:val="clear" w:color="auto" w:fill="F4F6F8"/>
          </w:tcPr>
          <w:p>
            <w:r/>
            <w:r>
              <w:rPr>
                <w:sz w:val="18"/>
              </w:rPr>
              <w:t>Robot performance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ISO 13854 / 13857 (ref.)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Safety distances / minimum gaps</w:t>
            </w:r>
          </w:p>
        </w:tc>
      </w:tr>
    </w:tbl>
    <w:p/>
    <w:p>
      <w:pPr>
        <w:spacing w:before="280" w:after="80"/>
      </w:pPr>
      <w:r>
        <w:rPr>
          <w:b/>
          <w:color w:val="1F2D4D"/>
          <w:sz w:val="28"/>
        </w:rP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7370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Document ID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REBOT-SC-CP-001</w:t>
            </w:r>
          </w:p>
        </w:tc>
      </w:tr>
      <w:tr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Revision</w:t>
            </w:r>
          </w:p>
        </w:tc>
        <w:tc>
          <w:tcPr>
            <w:tcW w:type="dxa" w:w="7370"/>
            <w:shd w:val="clear" w:color="auto" w:fill="F4F6F8"/>
          </w:tcPr>
          <w:p>
            <w:r/>
            <w:r>
              <w:rPr>
                <w:sz w:val="18"/>
              </w:rPr>
              <w:t>0.1 (draft)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Issue date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2026-05-04</w:t>
            </w:r>
          </w:p>
        </w:tc>
      </w:tr>
      <w:tr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Author</w:t>
            </w:r>
          </w:p>
        </w:tc>
        <w:tc>
          <w:tcPr>
            <w:tcW w:type="dxa" w:w="7370"/>
            <w:shd w:val="clear" w:color="auto" w:fill="F4F6F8"/>
          </w:tcPr>
          <w:p>
            <w:r/>
            <w:r>
              <w:rPr>
                <w:sz w:val="18"/>
              </w:rPr>
              <w:t>J. Herrod-Thomas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Item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reBot-DevArm B601-DM — fork at github.com/jherrodthomas/reBot-DevArm</w:t>
            </w:r>
          </w:p>
        </w:tc>
      </w:tr>
      <w:tr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Licence</w:t>
            </w:r>
          </w:p>
        </w:tc>
        <w:tc>
          <w:tcPr>
            <w:tcW w:type="dxa" w:w="7370"/>
            <w:shd w:val="clear" w:color="auto" w:fill="F4F6F8"/>
          </w:tcPr>
          <w:p>
            <w:r/>
            <w:r>
              <w:rPr>
                <w:sz w:val="18"/>
              </w:rPr>
              <w:t>CC BY-NC-SA 4.0 (ShareAlike, non-commercial)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4E5"/>
          </w:tcPr>
          <w:p>
            <w:r>
              <w:rPr>
                <w:b/>
                <w:color w:val="C77800"/>
                <w:sz w:val="22"/>
              </w:rPr>
              <w:t>Important — preliminary safety case</w:t>
            </w:r>
          </w:p>
          <w:p>
            <w:r>
              <w:rPr>
                <w:sz w:val="20"/>
              </w:rPr>
              <w:t>This document does NOT certify reBot-DevArm as safe for collaborative deployment with humans. Upstream is mature on hardware (BOM, STEP, performance test data) and software (Python SDK, ROS2 driver, LeRobot integration) but does NOT publish a HARA, FMEA, ISO 13849-2 validation report, or ISO/TS 15066 PFL measurement campaign. Provisional acceptance applies only to OE-1 (lab/desk supervised, fixtured).</w:t>
            </w:r>
          </w:p>
        </w:tc>
      </w:tr>
    </w:tbl>
    <w:p/>
    <w:p>
      <w:r>
        <w:br w:type="page"/>
      </w:r>
    </w:p>
    <w:p>
      <w:pPr>
        <w:spacing w:after="160"/>
      </w:pPr>
      <w:r>
        <w:rPr>
          <w:b/>
          <w:color w:val="1F2D4D"/>
          <w:sz w:val="40"/>
        </w:rPr>
        <w:t>1. Executive Summary</w:t>
      </w:r>
    </w:p>
    <w:p>
      <w:pPr>
        <w:spacing w:after="120"/>
      </w:pPr>
      <w:r>
        <w:rPr>
          <w:sz w:val="22"/>
        </w:rPr>
        <w:t>reBot-DevArm B601-DM is an open-source 6-DOF cobot arm developed by Seeed Studio with broad embodied-AI tooling (Python SDK, ROS2, LeRobot, Pinocchio, Isaac Sim). This safety case applies the ISO 12100 master risk-assessment method, augmented by ISO 10218 industrial-robot safety and ISO/TS 15066 collaborative-robot PFL data, the control-system performance-level framework of ISO 13849-1, the quality-management framework of ISO 9001, and the electrical-safety framework of IEC 60204-1.</w:t>
      </w:r>
    </w:p>
    <w:p>
      <w:pPr>
        <w:spacing w:after="120"/>
      </w:pPr>
      <w:r>
        <w:rPr>
          <w:sz w:val="22"/>
        </w:rPr>
        <w:t>Thirty-three hazards have been identified across mechanical, electrical, thermal, environmental, collaborative, control/cyber, and data-privacy categories. Thirty-one safety functions have been derived to mitigate them. Of the 30 standards-clauses examined: 4 are met at concept level, 8 are partial, 16 are not met, and 2 are deferred to the deploying organisation.</w:t>
      </w:r>
    </w:p>
    <w:p>
      <w:pPr>
        <w:spacing w:before="120" w:after="40"/>
      </w:pPr>
      <w:r>
        <w:rPr>
          <w:b/>
          <w:color w:val="008B8B"/>
          <w:sz w:val="22"/>
        </w:rPr>
        <w:t>Headline finding</w:t>
      </w:r>
    </w:p>
    <w:p>
      <w:pPr>
        <w:spacing w:after="120"/>
      </w:pPr>
      <w:r>
        <w:rPr>
          <w:sz w:val="22"/>
        </w:rPr>
        <w:t>reBot-DevArm B601-DM is provisionally acceptable for OE-1 (lab/desk research, supervised, fixtured) only. Deployment to OE-2/3/4 requires closure of high-severity gaps, the most critical of which is the absence of an ISO/TS 15066 PFL measurement campaign — without published body-region force/pressure data, collaborative use cannot be justified. Other critical gaps: E-Stop topology underspecified, no ISO 13849-2 validation report, no MTTFD/DC/CCF figures for Damiao or Robstride motors, and no safeguarding plan per ISO 13857.</w:t>
      </w:r>
    </w:p>
    <w:p>
      <w:pPr>
        <w:spacing w:before="120" w:after="40"/>
      </w:pPr>
      <w:r>
        <w:rPr>
          <w:b/>
          <w:color w:val="008B8B"/>
          <w:sz w:val="22"/>
        </w:rPr>
        <w:t>Risk profile by operational envelope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Op envelope</w:t>
            </w:r>
          </w:p>
        </w:tc>
        <w:tc>
          <w:tcPr>
            <w:tcW w:type="dxa" w:w="3969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417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2551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Provisional acceptance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OE-1 Lab / desk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Supervised, fixtured, no bystanders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LOW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PROVISIONAL YES</w:t>
            </w:r>
          </w:p>
        </w:tc>
      </w:tr>
      <w:tr>
        <w:tc>
          <w:tcPr>
            <w:tcW w:type="dxa" w:w="1984"/>
            <w:shd w:val="clear" w:color="auto" w:fill="F4F6F8"/>
          </w:tcPr>
          <w:p>
            <w:r/>
            <w:r>
              <w:rPr>
                <w:sz w:val="18"/>
              </w:rPr>
              <w:t>OE-2 Education</w:t>
            </w:r>
          </w:p>
        </w:tc>
        <w:tc>
          <w:tcPr>
            <w:tcW w:type="dxa" w:w="3969"/>
            <w:shd w:val="clear" w:color="auto" w:fill="F4F6F8"/>
          </w:tcPr>
          <w:p>
            <w:r/>
            <w:r>
              <w:rPr>
                <w:sz w:val="18"/>
              </w:rPr>
              <w:t>Classroom, students operating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NOT YET — 9 gaps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OE-3 Industrial cobot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Trained users, defined cell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NOT YET — 14 gaps</w:t>
            </w:r>
          </w:p>
        </w:tc>
      </w:tr>
      <w:tr>
        <w:tc>
          <w:tcPr>
            <w:tcW w:type="dxa" w:w="1984"/>
            <w:shd w:val="clear" w:color="auto" w:fill="F4F6F8"/>
          </w:tcPr>
          <w:p>
            <w:r/>
            <w:r>
              <w:rPr>
                <w:sz w:val="18"/>
              </w:rPr>
              <w:t>OE-4 Public-facing</w:t>
            </w:r>
          </w:p>
        </w:tc>
        <w:tc>
          <w:tcPr>
            <w:tcW w:type="dxa" w:w="3969"/>
            <w:shd w:val="clear" w:color="auto" w:fill="F4F6F8"/>
          </w:tcPr>
          <w:p>
            <w:r/>
            <w:r>
              <w:rPr>
                <w:sz w:val="18"/>
              </w:rPr>
              <w:t>Demo with bystanders / children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551"/>
            <w:shd w:val="clear" w:color="auto" w:fill="F4F6F8"/>
          </w:tcPr>
          <w:p>
            <w:r/>
            <w:r>
              <w:rPr>
                <w:sz w:val="18"/>
              </w:rPr>
              <w:t>NOT YET — 17 gaps</w:t>
            </w:r>
          </w:p>
        </w:tc>
      </w:tr>
    </w:tbl>
    <w:p/>
    <w:p>
      <w:r>
        <w:br w:type="page"/>
      </w:r>
    </w:p>
    <w:p>
      <w:pPr>
        <w:spacing w:after="160"/>
      </w:pPr>
      <w:r>
        <w:rPr>
          <w:b/>
          <w:color w:val="1F2D4D"/>
          <w:sz w:val="40"/>
        </w:rPr>
        <w:t>2. Scope and Item Definition</w:t>
      </w:r>
    </w:p>
    <w:p>
      <w:pPr>
        <w:spacing w:before="280" w:after="80"/>
      </w:pPr>
      <w:r>
        <w:rPr>
          <w:b/>
          <w:color w:val="1F2D4D"/>
          <w:sz w:val="28"/>
        </w:rPr>
        <w:t>2.1 Item</w:t>
      </w:r>
    </w:p>
    <w:p>
      <w:pPr>
        <w:spacing w:after="120"/>
      </w:pPr>
      <w:r>
        <w:rPr>
          <w:sz w:val="22"/>
        </w:rPr>
        <w:t>6-DOF cobot arm with 1 actuated gripper. Mass ~4.5 kg, reach 650 mm, payload 1.5 kg, repeatability &lt; 0.2 mm, supply DC 24 V. Two motor variants (Damiao DM, Robstride RS) share mechanical envelope. Software stack is open-source: Python motorbridge SDK, ROS2 driver (in progress), LeRobot, Pinocchio, Isaac Sim.</w:t>
      </w:r>
    </w:p>
    <w:p>
      <w:pPr>
        <w:spacing w:before="280" w:after="80"/>
      </w:pPr>
      <w:r>
        <w:rPr>
          <w:b/>
          <w:color w:val="1F2D4D"/>
          <w:sz w:val="28"/>
        </w:rPr>
        <w:t>2.2 Use limits and reasonably foreseeable misuse</w:t>
      </w:r>
    </w:p>
    <w:p>
      <w:pPr>
        <w:spacing w:after="120"/>
      </w:pPr>
      <w:r>
        <w:rPr>
          <w:sz w:val="22"/>
        </w:rPr>
        <w:t>Per ISO 12100 §5.3: operation by untrained users, payload &gt; 1.5 kg, operation outside declared workspace, operation with damaged 3D-printed parts, operation without a fixtured base, operation without an enclosure when bystanders are within reach, modifying joint torque limits in software, powering with non-rated PSU, mating with non-OEM grippers.</w:t>
      </w:r>
    </w:p>
    <w:p>
      <w:pPr>
        <w:spacing w:before="280" w:after="80"/>
      </w:pPr>
      <w:r>
        <w:rPr>
          <w:b/>
          <w:color w:val="1F2D4D"/>
          <w:sz w:val="28"/>
        </w:rPr>
        <w:t>2.3 Assumptions explicitly relied upon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134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8787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Assumption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A-01</w:t>
            </w:r>
          </w:p>
        </w:tc>
        <w:tc>
          <w:tcPr>
            <w:tcW w:type="dxa" w:w="8787"/>
          </w:tcPr>
          <w:p>
            <w:r/>
            <w:r>
              <w:rPr>
                <w:sz w:val="18"/>
              </w:rPr>
              <w:t>Operator is trained and within reach of an emergency-stop in M-04 RUN.</w:t>
            </w:r>
          </w:p>
        </w:tc>
      </w:tr>
      <w:tr>
        <w:tc>
          <w:tcPr>
            <w:tcW w:type="dxa" w:w="1134"/>
            <w:shd w:val="clear" w:color="auto" w:fill="F4F6F8"/>
          </w:tcPr>
          <w:p>
            <w:r/>
            <w:r>
              <w:rPr>
                <w:sz w:val="18"/>
              </w:rPr>
              <w:t>A-02</w:t>
            </w:r>
          </w:p>
        </w:tc>
        <w:tc>
          <w:tcPr>
            <w:tcW w:type="dxa" w:w="8787"/>
            <w:shd w:val="clear" w:color="auto" w:fill="F4F6F8"/>
          </w:tcPr>
          <w:p>
            <w:r/>
            <w:r>
              <w:rPr>
                <w:sz w:val="18"/>
              </w:rPr>
              <w:t>PSU is regulated 24 V with overcurrent protection.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A-03</w:t>
            </w:r>
          </w:p>
        </w:tc>
        <w:tc>
          <w:tcPr>
            <w:tcW w:type="dxa" w:w="8787"/>
          </w:tcPr>
          <w:p>
            <w:r/>
            <w:r>
              <w:rPr>
                <w:sz w:val="18"/>
              </w:rPr>
              <w:t>Mechanical structure is genuine sheet metal + certified polymer; no substitutions on load-bearing brackets.</w:t>
            </w:r>
          </w:p>
        </w:tc>
      </w:tr>
      <w:tr>
        <w:tc>
          <w:tcPr>
            <w:tcW w:type="dxa" w:w="1134"/>
            <w:shd w:val="clear" w:color="auto" w:fill="F4F6F8"/>
          </w:tcPr>
          <w:p>
            <w:r/>
            <w:r>
              <w:rPr>
                <w:sz w:val="18"/>
              </w:rPr>
              <w:t>A-04</w:t>
            </w:r>
          </w:p>
        </w:tc>
        <w:tc>
          <w:tcPr>
            <w:tcW w:type="dxa" w:w="8787"/>
            <w:shd w:val="clear" w:color="auto" w:fill="F4F6F8"/>
          </w:tcPr>
          <w:p>
            <w:r/>
            <w:r>
              <w:rPr>
                <w:sz w:val="18"/>
              </w:rPr>
              <w:t>Motor harness built per upstream wiring guide with correct termination.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A-05</w:t>
            </w:r>
          </w:p>
        </w:tc>
        <w:tc>
          <w:tcPr>
            <w:tcW w:type="dxa" w:w="8787"/>
          </w:tcPr>
          <w:p>
            <w:r/>
            <w:r>
              <w:rPr>
                <w:sz w:val="18"/>
              </w:rPr>
              <w:t>Operating surface level, dry, clamped to a workbench.</w:t>
            </w:r>
          </w:p>
        </w:tc>
      </w:tr>
      <w:tr>
        <w:tc>
          <w:tcPr>
            <w:tcW w:type="dxa" w:w="1134"/>
            <w:shd w:val="clear" w:color="auto" w:fill="F4F6F8"/>
          </w:tcPr>
          <w:p>
            <w:r/>
            <w:r>
              <w:rPr>
                <w:sz w:val="18"/>
              </w:rPr>
              <w:t>A-06</w:t>
            </w:r>
          </w:p>
        </w:tc>
        <w:tc>
          <w:tcPr>
            <w:tcW w:type="dxa" w:w="8787"/>
            <w:shd w:val="clear" w:color="auto" w:fill="F4F6F8"/>
          </w:tcPr>
          <w:p>
            <w:r/>
            <w:r>
              <w:rPr>
                <w:sz w:val="18"/>
              </w:rPr>
              <w:t>No bystanders within the 650 mm reach envelope while M-04 RUN.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A-07</w:t>
            </w:r>
          </w:p>
        </w:tc>
        <w:tc>
          <w:tcPr>
            <w:tcW w:type="dxa" w:w="8787"/>
          </w:tcPr>
          <w:p>
            <w:r/>
            <w:r>
              <w:rPr>
                <w:sz w:val="18"/>
              </w:rPr>
              <w:t>Robot is NOT a medical device.</w:t>
            </w:r>
          </w:p>
        </w:tc>
      </w:tr>
      <w:tr>
        <w:tc>
          <w:tcPr>
            <w:tcW w:type="dxa" w:w="1134"/>
            <w:shd w:val="clear" w:color="auto" w:fill="F4F6F8"/>
          </w:tcPr>
          <w:p>
            <w:r/>
            <w:r>
              <w:rPr>
                <w:sz w:val="18"/>
              </w:rPr>
              <w:t>A-08</w:t>
            </w:r>
          </w:p>
        </w:tc>
        <w:tc>
          <w:tcPr>
            <w:tcW w:type="dxa" w:w="8787"/>
            <w:shd w:val="clear" w:color="auto" w:fill="F4F6F8"/>
          </w:tcPr>
          <w:p>
            <w:r/>
            <w:r>
              <w:rPr>
                <w:sz w:val="18"/>
              </w:rPr>
              <w:t>Wrist camera, when fitted, does not capture or transmit personal data outside local network without explicit operator action.</w:t>
            </w:r>
          </w:p>
        </w:tc>
      </w:tr>
    </w:tbl>
    <w:p/>
    <w:p>
      <w:r>
        <w:br w:type="page"/>
      </w:r>
    </w:p>
    <w:p>
      <w:pPr>
        <w:spacing w:after="160"/>
      </w:pPr>
      <w:r>
        <w:rPr>
          <w:b/>
          <w:color w:val="1F2D4D"/>
          <w:sz w:val="40"/>
        </w:rPr>
        <w:t>3. Standards Compliance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268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Standard</w:t>
            </w:r>
          </w:p>
        </w:tc>
        <w:tc>
          <w:tcPr>
            <w:tcW w:type="dxa" w:w="1417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Clauses</w:t>
            </w:r>
          </w:p>
        </w:tc>
        <w:tc>
          <w:tcPr>
            <w:tcW w:type="dxa" w:w="1417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Met</w:t>
            </w:r>
          </w:p>
        </w:tc>
        <w:tc>
          <w:tcPr>
            <w:tcW w:type="dxa" w:w="1134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Partial</w:t>
            </w:r>
          </w:p>
        </w:tc>
        <w:tc>
          <w:tcPr>
            <w:tcW w:type="dxa" w:w="1134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Not met</w:t>
            </w:r>
          </w:p>
        </w:tc>
        <w:tc>
          <w:tcPr>
            <w:tcW w:type="dxa" w:w="1417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Deferred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ISO 12100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2268"/>
            <w:shd w:val="clear" w:color="auto" w:fill="F4F6F8"/>
          </w:tcPr>
          <w:p>
            <w:r/>
            <w:r>
              <w:rPr>
                <w:sz w:val="18"/>
              </w:rPr>
              <w:t>ISO 10218-1/-2 + TS 15066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  <w:shd w:val="clear" w:color="auto" w:fill="F4F6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  <w:shd w:val="clear" w:color="auto" w:fill="F4F6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ISO 13849-1/-2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2268"/>
            <w:shd w:val="clear" w:color="auto" w:fill="F4F6F8"/>
          </w:tcPr>
          <w:p>
            <w:r/>
            <w:r>
              <w:rPr>
                <w:sz w:val="18"/>
              </w:rPr>
              <w:t>ISO 9001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  <w:shd w:val="clear" w:color="auto" w:fill="F4F6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  <w:shd w:val="clear" w:color="auto" w:fill="F4F6F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IEC 60204-1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2268"/>
            <w:shd w:val="clear" w:color="auto" w:fill="F4F6F8"/>
          </w:tcPr>
          <w:p>
            <w:r/>
            <w:r>
              <w:rPr>
                <w:sz w:val="18"/>
              </w:rPr>
              <w:t>Other (EMC, 9283, 13854/57, CC BY-NC-SA)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134"/>
            <w:shd w:val="clear" w:color="auto" w:fill="F4F6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  <w:shd w:val="clear" w:color="auto" w:fill="F4F6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TOTAL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</w:t>
            </w:r>
          </w:p>
        </w:tc>
      </w:tr>
    </w:tbl>
    <w:p/>
    <w:p>
      <w:r>
        <w:br w:type="page"/>
      </w:r>
    </w:p>
    <w:p>
      <w:pPr>
        <w:spacing w:after="160"/>
      </w:pPr>
      <w:r>
        <w:rPr>
          <w:b/>
          <w:color w:val="1F2D4D"/>
          <w:sz w:val="40"/>
        </w:rPr>
        <w:t>4. Hazard Analysis Findings</w:t>
      </w:r>
    </w:p>
    <w:p>
      <w:pPr>
        <w:spacing w:after="120"/>
      </w:pPr>
      <w:r>
        <w:rPr>
          <w:sz w:val="22"/>
        </w:rPr>
        <w:t>Catalogue built by traversing ISO 12100 Annex B + ISO 10218-1 §5.10 + ISO/TS 15066 hazards. 33 hazards catalogued. Top residual risks after concept-level safety functions: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Hazard</w:t>
            </w:r>
          </w:p>
        </w:tc>
        <w:tc>
          <w:tcPr>
            <w:tcW w:type="dxa" w:w="4535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850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PLr</w:t>
            </w:r>
          </w:p>
        </w:tc>
        <w:tc>
          <w:tcPr>
            <w:tcW w:type="dxa" w:w="1417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Residual</w:t>
            </w:r>
          </w:p>
        </w:tc>
        <w:tc>
          <w:tcPr>
            <w:tcW w:type="dxa" w:w="2268"/>
            <w:shd w:val="clear" w:color="auto" w:fill="1F2D4D"/>
          </w:tcPr>
          <w:p>
            <w:r/>
            <w:r>
              <w:rPr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HZ-C06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LeRobot policy edge case → unsafe trajectory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Policy unverified across hazard catalogue</w:t>
            </w:r>
          </w:p>
        </w:tc>
      </w:tr>
      <w:tr>
        <w:tc>
          <w:tcPr>
            <w:tcW w:type="dxa" w:w="1134"/>
            <w:shd w:val="clear" w:color="auto" w:fill="F4F6F8"/>
          </w:tcPr>
          <w:p>
            <w:r/>
            <w:r>
              <w:rPr>
                <w:sz w:val="18"/>
              </w:rPr>
              <w:t>HZ-M01</w:t>
            </w:r>
          </w:p>
        </w:tc>
        <w:tc>
          <w:tcPr>
            <w:tcW w:type="dxa" w:w="4535"/>
            <w:shd w:val="clear" w:color="auto" w:fill="F4F6F8"/>
          </w:tcPr>
          <w:p>
            <w:r/>
            <w:r>
              <w:rPr>
                <w:sz w:val="18"/>
              </w:rPr>
              <w:t>Joint pinch / crushing in RUN</w:t>
            </w:r>
          </w:p>
        </w:tc>
        <w:tc>
          <w:tcPr>
            <w:tcW w:type="dxa" w:w="850"/>
            <w:shd w:val="clear" w:color="auto" w:fill="F4F6F8"/>
          </w:tcPr>
          <w:p>
            <w:r/>
            <w:r>
              <w:rPr>
                <w:sz w:val="18"/>
              </w:rPr>
              <w:t>e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MED</w:t>
            </w:r>
          </w:p>
        </w:tc>
        <w:tc>
          <w:tcPr>
            <w:tcW w:type="dxa" w:w="2268"/>
            <w:shd w:val="clear" w:color="auto" w:fill="F4F6F8"/>
          </w:tcPr>
          <w:p>
            <w:r/>
            <w:r>
              <w:rPr>
                <w:sz w:val="18"/>
              </w:rPr>
              <w:t>Speed limits not bound to body regions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HZ-M04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Arm sweep strike on torso / head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MED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Speed reduction trigger not implemented</w:t>
            </w:r>
          </w:p>
        </w:tc>
      </w:tr>
      <w:tr>
        <w:tc>
          <w:tcPr>
            <w:tcW w:type="dxa" w:w="1134"/>
            <w:shd w:val="clear" w:color="auto" w:fill="F4F6F8"/>
          </w:tcPr>
          <w:p>
            <w:r/>
            <w:r>
              <w:rPr>
                <w:sz w:val="18"/>
              </w:rPr>
              <w:t>HZ-P02</w:t>
            </w:r>
          </w:p>
        </w:tc>
        <w:tc>
          <w:tcPr>
            <w:tcW w:type="dxa" w:w="4535"/>
            <w:shd w:val="clear" w:color="auto" w:fill="F4F6F8"/>
          </w:tcPr>
          <w:p>
            <w:r/>
            <w:r>
              <w:rPr>
                <w:sz w:val="18"/>
              </w:rPr>
              <w:t>Transient hand impact &gt; 280 N</w:t>
            </w:r>
          </w:p>
        </w:tc>
        <w:tc>
          <w:tcPr>
            <w:tcW w:type="dxa" w:w="850"/>
            <w:shd w:val="clear" w:color="auto" w:fill="F4F6F8"/>
          </w:tcPr>
          <w:p>
            <w:r/>
            <w:r>
              <w:rPr>
                <w:sz w:val="18"/>
              </w:rPr>
              <w:t>e</w:t>
            </w:r>
          </w:p>
        </w:tc>
        <w:tc>
          <w:tcPr>
            <w:tcW w:type="dxa" w:w="1417"/>
            <w:shd w:val="clear" w:color="auto" w:fill="F4F6F8"/>
          </w:tcPr>
          <w:p>
            <w:r/>
            <w:r>
              <w:rPr>
                <w:sz w:val="18"/>
              </w:rPr>
              <w:t>MED</w:t>
            </w:r>
          </w:p>
        </w:tc>
        <w:tc>
          <w:tcPr>
            <w:tcW w:type="dxa" w:w="2268"/>
            <w:shd w:val="clear" w:color="auto" w:fill="F4F6F8"/>
          </w:tcPr>
          <w:p>
            <w:r/>
            <w:r>
              <w:rPr>
                <w:sz w:val="18"/>
              </w:rPr>
              <w:t>PFL thresholds not declared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HZ-P03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Pinch finger between link and external surface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MED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Cover gap not verified per ISO 13854</w:t>
            </w:r>
          </w:p>
        </w:tc>
      </w:tr>
    </w:tbl>
    <w:p/>
    <w:p>
      <w:r>
        <w:br w:type="page"/>
      </w:r>
    </w:p>
    <w:p>
      <w:pPr>
        <w:spacing w:after="160"/>
      </w:pPr>
      <w:r>
        <w:rPr>
          <w:b/>
          <w:color w:val="1F2D4D"/>
          <w:sz w:val="40"/>
        </w:rPr>
        <w:t>5. Safety Argument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1FB"/>
          </w:tcPr>
          <w:p>
            <w:r>
              <w:rPr>
                <w:b/>
                <w:color w:val="1F2D4D"/>
                <w:sz w:val="22"/>
              </w:rPr>
              <w:t>G1 — Top Goal</w:t>
            </w:r>
          </w:p>
          <w:p>
            <w:r>
              <w:rPr>
                <w:sz w:val="20"/>
              </w:rPr>
              <w:t>reBot-DevArm B601-DM is acceptably safe within the declared operational envelope (OE-1 lab/desk supervised, fixtured) and all reasonably foreseeable misuse is mitigated.</w:t>
            </w:r>
          </w:p>
        </w:tc>
      </w:tr>
    </w:tbl>
    <w:p/>
    <w:p>
      <w:pPr>
        <w:spacing w:after="120"/>
      </w:pPr>
      <w:r>
        <w:rPr>
          <w:sz w:val="22"/>
        </w:rPr>
        <w:t>Decomposition into G2 hazard completeness, G3 risk reduction, G4 safety function integrity, G5 standards conformance, G6 quality management, G7 collaborative-mode specifics. G4 cannot be discharged without MTTFD/DC/CCF evidence (GAP-13849-02). G7 requires PFL measurement (GAP-15066-01).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0F2F1"/>
          </w:tcPr>
          <w:p>
            <w:r>
              <w:rPr>
                <w:b/>
                <w:color w:val="008B8B"/>
                <w:sz w:val="22"/>
              </w:rPr>
              <w:t>CONCL — Conclusion</w:t>
            </w:r>
          </w:p>
          <w:p>
            <w:r>
              <w:rPr>
                <w:sz w:val="20"/>
              </w:rPr>
              <w:t>Provisional acceptance for OE-1 only, contingent on closure of GAP-10218-02 (E-Stop architecture), GAP-15066-01 (PFL measurement), GAP-13849-02 (PL evidence), GAP-13849-03 (validation), GAP-10218-04 (mode FSM in FW). Deployment to OE-2/3/4 BLOCKED.</w:t>
            </w:r>
          </w:p>
        </w:tc>
      </w:tr>
    </w:tbl>
    <w:p/>
    <w:p>
      <w:r>
        <w:br w:type="page"/>
      </w:r>
    </w:p>
    <w:p>
      <w:pPr>
        <w:spacing w:after="160"/>
      </w:pPr>
      <w:r>
        <w:rPr>
          <w:b/>
          <w:color w:val="1F2D4D"/>
          <w:sz w:val="40"/>
        </w:rPr>
        <w:t>6. Conclusion</w:t>
      </w:r>
    </w:p>
    <w:p>
      <w:pPr>
        <w:spacing w:after="120"/>
      </w:pPr>
      <w:r>
        <w:rPr>
          <w:sz w:val="22"/>
        </w:rPr>
        <w:t>reBot-DevArm B601-DM is a serious, mature open-source cobot project with extensive software ecosystem support. However, the safety-relevant evidence base is concept-stage. Provisional acceptance is for OE-1 only.</w:t>
      </w:r>
    </w:p>
    <w:p>
      <w:pPr>
        <w:spacing w:before="280" w:after="80"/>
      </w:pPr>
      <w:r>
        <w:rPr>
          <w:b/>
          <w:color w:val="1F2D4D"/>
          <w:sz w:val="28"/>
        </w:rPr>
        <w:t>6.1 Recommended next-revision actions</w:t>
      </w:r>
    </w:p>
    <w:p>
      <w:pPr>
        <w:spacing w:after="80"/>
      </w:pPr>
      <w:r>
        <w:rPr>
          <w:b/>
        </w:rPr>
        <w:t xml:space="preserve">1. </w:t>
      </w:r>
      <w:r>
        <w:t>Run an ISO/TS 15066 PFL measurement campaign on a body-region force/pressure pad and publish the resulting joint-torque cap table.</w:t>
      </w:r>
    </w:p>
    <w:p>
      <w:pPr>
        <w:spacing w:after="80"/>
      </w:pPr>
      <w:r>
        <w:rPr>
          <w:b/>
        </w:rPr>
        <w:t xml:space="preserve">2. </w:t>
      </w:r>
      <w:r>
        <w:t>Specify and publish the wireless or wired E-Stop architecture (Cat 1, dual-channel, link surveillance) per ISO 13849-1 / IEC 60204-1.</w:t>
      </w:r>
    </w:p>
    <w:p>
      <w:pPr>
        <w:spacing w:after="80"/>
      </w:pPr>
      <w:r>
        <w:rPr>
          <w:b/>
        </w:rPr>
        <w:t xml:space="preserve">3. </w:t>
      </w:r>
      <w:r>
        <w:t>Compute and publish MTTFD, DC, CCF for each safety-rated control channel (Damiao / Robstride motor data).</w:t>
      </w:r>
    </w:p>
    <w:p>
      <w:pPr>
        <w:spacing w:after="80"/>
      </w:pPr>
      <w:r>
        <w:rPr>
          <w:b/>
        </w:rPr>
        <w:t xml:space="preserve">4. </w:t>
      </w:r>
      <w:r>
        <w:t>Issue an ISO 13849-2 validation plan and test report covering the 31 safety functions.</w:t>
      </w:r>
    </w:p>
    <w:p>
      <w:pPr>
        <w:spacing w:after="80"/>
      </w:pPr>
      <w:r>
        <w:rPr>
          <w:b/>
        </w:rPr>
        <w:t xml:space="preserve">5. </w:t>
      </w:r>
      <w:r>
        <w:t>Implement and document the mode FSM (OFF / IDLE / TEACH / RUN / ESTOP) in firmware with mandatory E-Stop interlock at boot.</w:t>
      </w:r>
    </w:p>
    <w:p>
      <w:pPr>
        <w:spacing w:after="80"/>
      </w:pPr>
      <w:r>
        <w:rPr>
          <w:b/>
        </w:rPr>
        <w:t xml:space="preserve">6. </w:t>
      </w:r>
      <w:r>
        <w:t>Verify cover gaps at all joint axes per ISO 13854 (≤ 4 mm test finger).</w:t>
      </w:r>
    </w:p>
    <w:p>
      <w:pPr>
        <w:spacing w:after="80"/>
      </w:pPr>
      <w:r>
        <w:rPr>
          <w:b/>
        </w:rPr>
        <w:t xml:space="preserve">7. </w:t>
      </w:r>
      <w:r>
        <w:t>Stand up an ISO 9001-aligned QMS subset: design-review records, NCR/CAR procedure.</w:t>
      </w:r>
    </w:p>
    <w:p>
      <w:pPr>
        <w:spacing w:after="80"/>
      </w:pPr>
      <w:r>
        <w:rPr>
          <w:b/>
        </w:rPr>
        <w:t xml:space="preserve">8. </w:t>
      </w:r>
      <w:r>
        <w:t>Verify the LeRobot policy library against the 33-hazard catalogue and publish a coverage matrix.</w:t>
      </w:r>
    </w:p>
    <w:p>
      <w:pPr>
        <w:spacing w:after="80"/>
      </w:pPr>
      <w:r>
        <w:rPr>
          <w:b/>
        </w:rPr>
        <w:t xml:space="preserve">9. </w:t>
      </w:r>
      <w:r>
        <w:t>Specify camera privacy posture (default-off, opt-in recording, recording LED).</w:t>
      </w:r>
    </w:p>
    <w:p>
      <w:pPr>
        <w:spacing w:after="80"/>
      </w:pPr>
      <w:r>
        <w:rPr>
          <w:b/>
        </w:rPr>
        <w:t xml:space="preserve">10. </w:t>
      </w:r>
      <w:r>
        <w:t>Replace barrel-jack PSU connector with keyed XT60 or Anderson SB50 in next kit revision.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