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1F1C45D7" w14:textId="2486A93A" w:rsidR="00F53E94" w:rsidRDefault="00F53E94" w:rsidP="00F53E94">
      <w:pPr>
        <w:rPr>
          <w:rFonts w:asciiTheme="minorHAnsi" w:hAnsiTheme="minorHAnsi" w:cstheme="minorHAnsi"/>
          <w:b/>
          <w:sz w:val="28"/>
          <w:szCs w:val="28"/>
        </w:rPr>
      </w:pPr>
      <w:r>
        <w:rPr>
          <w:rFonts w:asciiTheme="minorHAnsi" w:hAnsiTheme="minorHAnsi" w:cstheme="minorHAnsi"/>
          <w:b/>
          <w:sz w:val="28"/>
          <w:szCs w:val="28"/>
        </w:rPr>
        <w:t>Introducción.</w:t>
      </w:r>
    </w:p>
    <w:p w14:paraId="4F0248BD" w14:textId="77777777" w:rsidR="00F53E94" w:rsidRDefault="00F53E94" w:rsidP="00F53E94">
      <w:pPr>
        <w:rPr>
          <w:rFonts w:asciiTheme="minorHAnsi" w:hAnsiTheme="minorHAnsi" w:cstheme="minorHAnsi"/>
          <w:b/>
          <w:sz w:val="28"/>
          <w:szCs w:val="28"/>
        </w:rPr>
      </w:pP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634A0993" w14:textId="63AB99D0" w:rsidR="00B05E0F"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CD43CDB" w14:textId="77777777" w:rsidR="008E503A" w:rsidRDefault="008E503A" w:rsidP="00F53E94">
      <w:pPr>
        <w:spacing w:line="360" w:lineRule="auto"/>
        <w:rPr>
          <w:rFonts w:asciiTheme="minorHAnsi" w:hAnsiTheme="minorHAnsi" w:cstheme="minorHAnsi"/>
          <w:sz w:val="22"/>
          <w:szCs w:val="22"/>
        </w:rPr>
      </w:pPr>
    </w:p>
    <w:p w14:paraId="3A1CB717" w14:textId="5930042C" w:rsidR="008E503A" w:rsidRDefault="008E503A" w:rsidP="00F53E94">
      <w:pPr>
        <w:spacing w:line="360" w:lineRule="auto"/>
        <w:rPr>
          <w:rFonts w:asciiTheme="minorHAnsi" w:hAnsiTheme="minorHAnsi" w:cstheme="minorHAnsi"/>
          <w:sz w:val="22"/>
          <w:szCs w:val="22"/>
        </w:rPr>
      </w:pPr>
      <w:r>
        <w:rPr>
          <w:rFonts w:asciiTheme="minorHAnsi" w:hAnsiTheme="minorHAnsi" w:cstheme="minorHAnsi"/>
          <w:b/>
          <w:sz w:val="28"/>
          <w:szCs w:val="28"/>
          <w:lang w:val="es-ES"/>
        </w:rPr>
        <w:t>Marco Teórico</w:t>
      </w:r>
    </w:p>
    <w:p w14:paraId="33F360F6" w14:textId="77777777" w:rsidR="008E503A" w:rsidRDefault="008E503A" w:rsidP="008E503A">
      <w:pPr>
        <w:spacing w:line="360" w:lineRule="auto"/>
        <w:rPr>
          <w:rFonts w:asciiTheme="minorHAnsi" w:hAnsiTheme="minorHAnsi" w:cstheme="minorHAnsi"/>
          <w:sz w:val="22"/>
          <w:szCs w:val="22"/>
        </w:rPr>
      </w:pPr>
    </w:p>
    <w:p w14:paraId="1C76DDC9" w14:textId="08395D3F"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172731D4" w14:textId="77777777" w:rsidR="008E503A" w:rsidRPr="008E503A" w:rsidRDefault="008E503A" w:rsidP="008E503A">
      <w:pPr>
        <w:spacing w:line="360" w:lineRule="auto"/>
        <w:rPr>
          <w:rFonts w:asciiTheme="minorHAnsi" w:hAnsiTheme="minorHAnsi" w:cstheme="minorHAnsi"/>
          <w:sz w:val="22"/>
          <w:szCs w:val="22"/>
        </w:rPr>
      </w:pPr>
    </w:p>
    <w:p w14:paraId="3F8E2A02" w14:textId="15D74C98"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lastRenderedPageBreak/>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26DC39DC" w:rsidR="002C41F0" w:rsidRDefault="002C41F0">
      <w:pPr>
        <w:rPr>
          <w:rFonts w:asciiTheme="minorHAnsi" w:hAnsiTheme="minorHAnsi" w:cstheme="minorHAnsi"/>
          <w:b/>
          <w:sz w:val="28"/>
          <w:szCs w:val="28"/>
        </w:rPr>
      </w:pPr>
    </w:p>
    <w:p w14:paraId="7908C51B" w14:textId="67FA95E0" w:rsidR="00CF36C5" w:rsidRDefault="00160ECF" w:rsidP="00CF36C5">
      <w:pPr>
        <w:rPr>
          <w:rFonts w:asciiTheme="minorHAnsi" w:hAnsiTheme="minorHAnsi" w:cstheme="minorHAnsi"/>
          <w:b/>
          <w:sz w:val="28"/>
          <w:szCs w:val="28"/>
        </w:rPr>
      </w:pPr>
      <w:r>
        <w:rPr>
          <w:rFonts w:asciiTheme="minorHAnsi" w:hAnsiTheme="minorHAnsi" w:cstheme="minorHAnsi"/>
          <w:b/>
          <w:sz w:val="28"/>
          <w:szCs w:val="28"/>
        </w:rPr>
        <w:t>Desarrollo metodológico</w:t>
      </w:r>
    </w:p>
    <w:p w14:paraId="10F55D74" w14:textId="23C6B608" w:rsidR="00CF36C5" w:rsidRDefault="00CF36C5" w:rsidP="0ACE9BE5">
      <w:pPr>
        <w:rPr>
          <w:rFonts w:asciiTheme="minorHAnsi" w:hAnsiTheme="minorHAnsi" w:cstheme="minorHAnsi"/>
          <w:sz w:val="22"/>
          <w:szCs w:val="22"/>
        </w:rPr>
      </w:pPr>
    </w:p>
    <w:p w14:paraId="1F19852B"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31168383" w14:textId="77777777" w:rsidR="00D1344D" w:rsidRPr="00D1344D" w:rsidRDefault="00D1344D" w:rsidP="00D1344D">
      <w:pPr>
        <w:rPr>
          <w:rFonts w:asciiTheme="minorHAnsi" w:hAnsiTheme="minorHAnsi" w:cstheme="minorHAnsi"/>
          <w:sz w:val="22"/>
          <w:szCs w:val="22"/>
        </w:rPr>
      </w:pPr>
    </w:p>
    <w:p w14:paraId="47BFF79B" w14:textId="78049207" w:rsidR="00D1344D" w:rsidRPr="00D1344D" w:rsidRDefault="00D1344D" w:rsidP="00D1344D">
      <w:pPr>
        <w:pStyle w:val="Prrafodelista"/>
        <w:numPr>
          <w:ilvl w:val="0"/>
          <w:numId w:val="19"/>
        </w:numPr>
        <w:rPr>
          <w:rFonts w:asciiTheme="minorHAnsi" w:hAnsiTheme="minorHAnsi" w:cstheme="minorHAnsi"/>
          <w:sz w:val="22"/>
          <w:szCs w:val="22"/>
        </w:rPr>
      </w:pPr>
      <w:r w:rsidRPr="00D1344D">
        <w:rPr>
          <w:rFonts w:asciiTheme="minorHAnsi" w:hAnsiTheme="minorHAnsi" w:cstheme="minorHAnsi"/>
          <w:b/>
          <w:bCs/>
          <w:sz w:val="22"/>
          <w:szCs w:val="22"/>
        </w:rPr>
        <w:t>Comprensión del Negocio</w:t>
      </w:r>
    </w:p>
    <w:p w14:paraId="2A8AC5EF" w14:textId="77777777" w:rsidR="00D1344D" w:rsidRPr="00D1344D" w:rsidRDefault="00D1344D" w:rsidP="00D1344D">
      <w:pPr>
        <w:rPr>
          <w:rFonts w:asciiTheme="minorHAnsi" w:hAnsiTheme="minorHAnsi" w:cstheme="minorHAnsi"/>
          <w:sz w:val="22"/>
          <w:szCs w:val="22"/>
        </w:rPr>
      </w:pPr>
    </w:p>
    <w:p w14:paraId="28D82663"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07455F29" w14:textId="77777777" w:rsidR="00D1344D" w:rsidRPr="00D1344D" w:rsidRDefault="00D1344D" w:rsidP="00D1344D">
      <w:pPr>
        <w:rPr>
          <w:rFonts w:asciiTheme="minorHAnsi" w:hAnsiTheme="minorHAnsi" w:cstheme="minorHAnsi"/>
          <w:sz w:val="22"/>
          <w:szCs w:val="22"/>
        </w:rPr>
      </w:pPr>
    </w:p>
    <w:p w14:paraId="0B606E68"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Objetivos Específicos:</w:t>
      </w:r>
    </w:p>
    <w:p w14:paraId="0D783C57" w14:textId="77777777" w:rsidR="00D1344D" w:rsidRPr="00D1344D" w:rsidRDefault="00D1344D" w:rsidP="00D1344D">
      <w:pPr>
        <w:rPr>
          <w:rFonts w:asciiTheme="minorHAnsi" w:hAnsiTheme="minorHAnsi" w:cstheme="minorHAnsi"/>
          <w:sz w:val="22"/>
          <w:szCs w:val="22"/>
        </w:rPr>
      </w:pPr>
    </w:p>
    <w:p w14:paraId="58AF7DB1" w14:textId="588EF57B"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Pr="00D1344D">
        <w:rPr>
          <w:rFonts w:asciiTheme="minorHAnsi" w:hAnsiTheme="minorHAnsi" w:cstheme="minorHAnsi"/>
          <w:sz w:val="22"/>
          <w:szCs w:val="22"/>
        </w:rPr>
        <w:t>.</w:t>
      </w:r>
    </w:p>
    <w:p w14:paraId="5F75CFF5" w14:textId="1294B69D"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45B7CFFB" w14:textId="77777777" w:rsidR="00D1344D" w:rsidRPr="00D1344D" w:rsidRDefault="00D1344D" w:rsidP="00D1344D">
      <w:pPr>
        <w:rPr>
          <w:rFonts w:asciiTheme="minorHAnsi" w:hAnsiTheme="minorHAnsi" w:cstheme="minorHAnsi"/>
          <w:sz w:val="22"/>
          <w:szCs w:val="22"/>
        </w:rPr>
      </w:pPr>
    </w:p>
    <w:p w14:paraId="37B2B231" w14:textId="78E0D1FE" w:rsidR="00D1344D" w:rsidRPr="006D2216" w:rsidRDefault="00D1344D" w:rsidP="006D2216">
      <w:pPr>
        <w:pStyle w:val="Prrafodelista"/>
        <w:numPr>
          <w:ilvl w:val="0"/>
          <w:numId w:val="19"/>
        </w:numPr>
        <w:rPr>
          <w:rFonts w:asciiTheme="minorHAnsi" w:hAnsiTheme="minorHAnsi" w:cstheme="minorHAnsi"/>
          <w:b/>
          <w:bCs/>
          <w:sz w:val="22"/>
          <w:szCs w:val="22"/>
        </w:rPr>
      </w:pPr>
      <w:r w:rsidRPr="006D2216">
        <w:rPr>
          <w:rFonts w:asciiTheme="minorHAnsi" w:hAnsiTheme="minorHAnsi" w:cstheme="minorHAnsi"/>
          <w:b/>
          <w:bCs/>
          <w:sz w:val="22"/>
          <w:szCs w:val="22"/>
        </w:rPr>
        <w:t>Comprensión de los Datos</w:t>
      </w:r>
    </w:p>
    <w:p w14:paraId="5D6ACBC1" w14:textId="77777777" w:rsidR="00D1344D" w:rsidRPr="00D1344D" w:rsidRDefault="00D1344D" w:rsidP="00D1344D">
      <w:pPr>
        <w:rPr>
          <w:rFonts w:asciiTheme="minorHAnsi" w:hAnsiTheme="minorHAnsi" w:cstheme="minorHAnsi"/>
          <w:sz w:val="22"/>
          <w:szCs w:val="22"/>
        </w:rPr>
      </w:pPr>
    </w:p>
    <w:p w14:paraId="65178FAA" w14:textId="77777777" w:rsidR="00D1344D" w:rsidRPr="006D2216" w:rsidRDefault="00D1344D" w:rsidP="00D1344D">
      <w:pPr>
        <w:rPr>
          <w:rFonts w:asciiTheme="minorHAnsi" w:hAnsiTheme="minorHAnsi" w:cstheme="minorHAnsi"/>
          <w:b/>
          <w:bCs/>
          <w:sz w:val="22"/>
          <w:szCs w:val="22"/>
        </w:rPr>
      </w:pPr>
      <w:r w:rsidRPr="006D2216">
        <w:rPr>
          <w:rFonts w:asciiTheme="minorHAnsi" w:hAnsiTheme="minorHAnsi" w:cstheme="minorHAnsi"/>
          <w:b/>
          <w:bCs/>
          <w:sz w:val="22"/>
          <w:szCs w:val="22"/>
        </w:rPr>
        <w:t>Fuentes de Datos:</w:t>
      </w:r>
    </w:p>
    <w:p w14:paraId="53EF63D1" w14:textId="77777777" w:rsidR="00D1344D" w:rsidRPr="00D1344D" w:rsidRDefault="00D1344D" w:rsidP="00D1344D">
      <w:pPr>
        <w:rPr>
          <w:rFonts w:asciiTheme="minorHAnsi" w:hAnsiTheme="minorHAnsi" w:cstheme="minorHAnsi"/>
          <w:sz w:val="22"/>
          <w:szCs w:val="22"/>
        </w:rPr>
      </w:pPr>
    </w:p>
    <w:p w14:paraId="21D53AD2" w14:textId="19AF0D13"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0C3E415D" w14:textId="77777777" w:rsidR="00D1344D" w:rsidRPr="00D1344D" w:rsidRDefault="00D1344D" w:rsidP="00D1344D">
      <w:pPr>
        <w:rPr>
          <w:rFonts w:asciiTheme="minorHAnsi" w:hAnsiTheme="minorHAnsi" w:cstheme="minorHAnsi"/>
          <w:sz w:val="22"/>
          <w:szCs w:val="22"/>
        </w:rPr>
      </w:pPr>
    </w:p>
    <w:p w14:paraId="4B5E53AB" w14:textId="38358F4C"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 xml:space="preserve"> Registros clínicos de la EAPB: Incluyen historiales médicos, resultados de exámenes y tratamientos previos.</w:t>
      </w:r>
    </w:p>
    <w:p w14:paraId="7CBC9A83" w14:textId="42975060"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Datos demográficos: Edad, raza y sexo.</w:t>
      </w:r>
    </w:p>
    <w:p w14:paraId="6A809A29" w14:textId="0D7CADC2"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Antecedentes familiares y personales: Cáncer y condiciones ginecológicas.</w:t>
      </w:r>
    </w:p>
    <w:p w14:paraId="62A6F96C" w14:textId="09C26F07"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Estilos de vida: Información sobre hábitos como consumo de alcohol.</w:t>
      </w:r>
    </w:p>
    <w:p w14:paraId="3ABB9EF8" w14:textId="77777777" w:rsidR="00D1344D" w:rsidRPr="00D1344D" w:rsidRDefault="00D1344D" w:rsidP="00D1344D">
      <w:pPr>
        <w:rPr>
          <w:rFonts w:asciiTheme="minorHAnsi" w:hAnsiTheme="minorHAnsi" w:cstheme="minorHAnsi"/>
          <w:sz w:val="22"/>
          <w:szCs w:val="22"/>
        </w:rPr>
      </w:pPr>
    </w:p>
    <w:p w14:paraId="4ACE57CD" w14:textId="77777777" w:rsidR="00D1344D" w:rsidRPr="00A27A5D" w:rsidRDefault="00D1344D" w:rsidP="00D1344D">
      <w:pPr>
        <w:rPr>
          <w:rFonts w:asciiTheme="minorHAnsi" w:hAnsiTheme="minorHAnsi" w:cstheme="minorHAnsi"/>
          <w:b/>
          <w:bCs/>
          <w:sz w:val="22"/>
          <w:szCs w:val="22"/>
        </w:rPr>
      </w:pPr>
      <w:r w:rsidRPr="00A27A5D">
        <w:rPr>
          <w:rFonts w:asciiTheme="minorHAnsi" w:hAnsiTheme="minorHAnsi" w:cstheme="minorHAnsi"/>
          <w:b/>
          <w:bCs/>
          <w:sz w:val="22"/>
          <w:szCs w:val="22"/>
        </w:rPr>
        <w:t>Descripción de las Variables:</w:t>
      </w:r>
    </w:p>
    <w:p w14:paraId="690B26CA" w14:textId="77777777" w:rsidR="00D1344D" w:rsidRPr="00D1344D" w:rsidRDefault="00D1344D" w:rsidP="00D1344D">
      <w:pPr>
        <w:rPr>
          <w:rFonts w:asciiTheme="minorHAnsi" w:hAnsiTheme="minorHAnsi" w:cstheme="minorHAnsi"/>
          <w:sz w:val="22"/>
          <w:szCs w:val="22"/>
        </w:rPr>
      </w:pPr>
    </w:p>
    <w:p w14:paraId="6BDC12FC" w14:textId="77777777" w:rsidR="00D1344D" w:rsidRPr="00A27A5D"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 xml:space="preserve">    </w:t>
      </w:r>
      <w:r w:rsidRPr="00A27A5D">
        <w:rPr>
          <w:rFonts w:asciiTheme="minorHAnsi" w:hAnsiTheme="minorHAnsi" w:cstheme="minorHAnsi"/>
          <w:b/>
          <w:bCs/>
          <w:sz w:val="22"/>
          <w:szCs w:val="22"/>
        </w:rPr>
        <w:t>Variable Dependiente:</w:t>
      </w:r>
    </w:p>
    <w:p w14:paraId="74D13432" w14:textId="77777777" w:rsidR="00D1344D" w:rsidRPr="00A27A5D"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 xml:space="preserve">        </w:t>
      </w:r>
      <w:r w:rsidRPr="00A27A5D">
        <w:rPr>
          <w:rFonts w:asciiTheme="minorHAnsi" w:hAnsiTheme="minorHAnsi" w:cstheme="minorHAnsi"/>
          <w:b/>
          <w:bCs/>
          <w:sz w:val="22"/>
          <w:szCs w:val="22"/>
        </w:rPr>
        <w:t>Diagnóstico de cáncer de mama (binaria: Sí/No):</w:t>
      </w:r>
    </w:p>
    <w:p w14:paraId="18CC5CAD" w14:textId="1793A7A0"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 xml:space="preserve"> </w:t>
      </w:r>
      <w:r w:rsidRPr="00A27A5D">
        <w:rPr>
          <w:rFonts w:asciiTheme="minorHAnsi" w:hAnsiTheme="minorHAnsi" w:cstheme="minorHAnsi"/>
          <w:b/>
          <w:bCs/>
          <w:sz w:val="22"/>
          <w:szCs w:val="22"/>
        </w:rPr>
        <w:t>Para casos positivos (Sí):</w:t>
      </w:r>
      <w:r w:rsidRPr="00A27A5D">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730C0BB9" w14:textId="1B5F645E" w:rsidR="00D1344D" w:rsidRPr="00A27A5D" w:rsidRDefault="00D1344D" w:rsidP="00A27A5D">
      <w:pPr>
        <w:pStyle w:val="Prrafodelista"/>
        <w:numPr>
          <w:ilvl w:val="0"/>
          <w:numId w:val="21"/>
        </w:numPr>
        <w:rPr>
          <w:rFonts w:asciiTheme="minorHAnsi" w:hAnsiTheme="minorHAnsi" w:cstheme="minorHAnsi"/>
          <w:sz w:val="22"/>
          <w:szCs w:val="22"/>
        </w:rPr>
      </w:pPr>
      <w:r w:rsidRPr="00A27A5D">
        <w:rPr>
          <w:rFonts w:asciiTheme="minorHAnsi" w:hAnsiTheme="minorHAnsi" w:cstheme="minorHAnsi"/>
          <w:sz w:val="22"/>
          <w:szCs w:val="22"/>
        </w:rPr>
        <w:t xml:space="preserve"> </w:t>
      </w:r>
      <w:r w:rsidRPr="00A27A5D">
        <w:rPr>
          <w:rFonts w:asciiTheme="minorHAnsi" w:hAnsiTheme="minorHAnsi" w:cstheme="minorHAnsi"/>
          <w:b/>
          <w:bCs/>
          <w:sz w:val="22"/>
          <w:szCs w:val="22"/>
        </w:rPr>
        <w:t>Para casos negativos (No):</w:t>
      </w:r>
      <w:r w:rsidRPr="00A27A5D">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302A9EDC" w14:textId="77777777" w:rsidR="00D1344D" w:rsidRPr="00D1344D" w:rsidRDefault="00D1344D" w:rsidP="00D1344D">
      <w:pPr>
        <w:rPr>
          <w:rFonts w:asciiTheme="minorHAnsi" w:hAnsiTheme="minorHAnsi" w:cstheme="minorHAnsi"/>
          <w:sz w:val="22"/>
          <w:szCs w:val="22"/>
        </w:rPr>
      </w:pPr>
    </w:p>
    <w:p w14:paraId="6E1D3210" w14:textId="77777777" w:rsidR="00D1344D" w:rsidRPr="008B590A"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lastRenderedPageBreak/>
        <w:t xml:space="preserve">    </w:t>
      </w:r>
      <w:r w:rsidRPr="008B590A">
        <w:rPr>
          <w:rFonts w:asciiTheme="minorHAnsi" w:hAnsiTheme="minorHAnsi" w:cstheme="minorHAnsi"/>
          <w:b/>
          <w:bCs/>
          <w:sz w:val="22"/>
          <w:szCs w:val="22"/>
        </w:rPr>
        <w:t>Variables Independientes:</w:t>
      </w:r>
    </w:p>
    <w:p w14:paraId="71168F56" w14:textId="0EB9498C"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Sexo: Categórica; se espera que todos los registros correspondan al sexo femenino.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Edad: Numérica continua; edad de la paciente en años al momento del registro correspondiente.</w:t>
      </w:r>
    </w:p>
    <w:p w14:paraId="6F669AD0" w14:textId="2DB19F12"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Raza: Categórica; categorías como 'Blanca', 'Afrodescendiente', 'Indígena', 'Mestiza'.</w:t>
      </w:r>
    </w:p>
    <w:p w14:paraId="4E4E0D81" w14:textId="0FF25215"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Índice de Masa Corporal (IMC): Numérica continua; kg/m².</w:t>
      </w:r>
    </w:p>
    <w:p w14:paraId="2368F617" w14:textId="54E91216"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consumo de alcohol: Binaria; '1' para consumo, '0' para no consumo.</w:t>
      </w:r>
    </w:p>
    <w:p w14:paraId="0CB59D3C" w14:textId="10A07DA8"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Edad de la menarca: Numérica discreta; edad en años del primer período menstrual.</w:t>
      </w:r>
    </w:p>
    <w:p w14:paraId="2E5DC836" w14:textId="7FDD1375"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Edad de la menopausia: Numérica discreta; aplicable solo a mujeres posmenopáusicas.</w:t>
      </w:r>
    </w:p>
    <w:p w14:paraId="5ED6890C" w14:textId="0A0CBD60"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terapia hormonal: Binaria; '1' para sí, '0' para no.</w:t>
      </w:r>
    </w:p>
    <w:p w14:paraId="67546B7F" w14:textId="330101B7"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Resultado de mamografía (BI-RADS): Categórica ordinal; categorías de '0' a '6'.</w:t>
      </w:r>
    </w:p>
    <w:p w14:paraId="2CACD4AF" w14:textId="6BB3DBAF"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ooforectomía bilateral: Binaria; '1' para sí, '0' para no.</w:t>
      </w:r>
    </w:p>
    <w:p w14:paraId="7D68067A" w14:textId="0264351E"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Número de familiares de primer grado con cualquier cáncer: Numérica discreta.</w:t>
      </w:r>
    </w:p>
    <w:p w14:paraId="1ACD6C69" w14:textId="72727B6C"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Número de familiares de segundo grado con cualquier cáncer: Numérica discreta.</w:t>
      </w:r>
    </w:p>
    <w:p w14:paraId="55C4B5CF" w14:textId="10B98F7E"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Número de familiares de primer grado con cáncer de mama: Numérica discreta.</w:t>
      </w:r>
    </w:p>
    <w:p w14:paraId="767FB2D8" w14:textId="23821C54"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Número de familiares de segundo grado con cáncer de mama: Numérica discreta.</w:t>
      </w:r>
    </w:p>
    <w:p w14:paraId="1BFCF0D9" w14:textId="6FF93519"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antecedentes familiares con cualquier cáncer: Binaria; '1' si existe al menos un familiar afectado, '0' en caso contrario.</w:t>
      </w:r>
    </w:p>
    <w:p w14:paraId="51B0695B" w14:textId="3B5609FB"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antecedentes familiares con cáncer de mama: Binaria; '1' si existe al menos un familiar afectado, '0' en caso contrario.</w:t>
      </w:r>
    </w:p>
    <w:p w14:paraId="77C6AE8F" w14:textId="72794FB0" w:rsidR="00D1344D" w:rsidRPr="00C03B23" w:rsidRDefault="00D1344D" w:rsidP="00C03B23">
      <w:pPr>
        <w:pStyle w:val="Prrafodelista"/>
        <w:numPr>
          <w:ilvl w:val="0"/>
          <w:numId w:val="23"/>
        </w:numPr>
        <w:rPr>
          <w:rFonts w:asciiTheme="minorHAnsi" w:hAnsiTheme="minorHAnsi" w:cstheme="minorHAnsi"/>
          <w:sz w:val="22"/>
          <w:szCs w:val="22"/>
        </w:rPr>
      </w:pPr>
      <w:r w:rsidRPr="00C03B23">
        <w:rPr>
          <w:rFonts w:asciiTheme="minorHAnsi" w:hAnsiTheme="minorHAnsi" w:cstheme="minorHAnsi"/>
          <w:sz w:val="22"/>
          <w:szCs w:val="22"/>
        </w:rPr>
        <w:t>Indicador de radiografía de tórax: Binaria; '1' para sí, '0' para no.</w:t>
      </w:r>
    </w:p>
    <w:p w14:paraId="1C23905F" w14:textId="77777777" w:rsidR="00D1344D" w:rsidRPr="00D1344D" w:rsidRDefault="00D1344D" w:rsidP="00D1344D">
      <w:pPr>
        <w:rPr>
          <w:rFonts w:asciiTheme="minorHAnsi" w:hAnsiTheme="minorHAnsi" w:cstheme="minorHAnsi"/>
          <w:sz w:val="22"/>
          <w:szCs w:val="22"/>
        </w:rPr>
      </w:pPr>
    </w:p>
    <w:p w14:paraId="1B66600F"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Consideraciones Temporales:</w:t>
      </w:r>
    </w:p>
    <w:p w14:paraId="417FE73B" w14:textId="77777777" w:rsidR="00D1344D" w:rsidRPr="00D1344D" w:rsidRDefault="00D1344D" w:rsidP="00D1344D">
      <w:pPr>
        <w:rPr>
          <w:rFonts w:asciiTheme="minorHAnsi" w:hAnsiTheme="minorHAnsi" w:cstheme="minorHAnsi"/>
          <w:sz w:val="22"/>
          <w:szCs w:val="22"/>
        </w:rPr>
      </w:pPr>
    </w:p>
    <w:p w14:paraId="62D69CB8"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    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    Para casos negativos: Se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77777777" w:rsidR="00D1344D" w:rsidRPr="00993E5A" w:rsidRDefault="00D1344D" w:rsidP="00D1344D">
      <w:pPr>
        <w:rPr>
          <w:rFonts w:asciiTheme="minorHAnsi" w:hAnsiTheme="minorHAnsi" w:cstheme="minorHAnsi"/>
          <w:b/>
          <w:bCs/>
          <w:sz w:val="22"/>
          <w:szCs w:val="22"/>
        </w:rPr>
      </w:pPr>
      <w:r w:rsidRPr="00993E5A">
        <w:rPr>
          <w:rFonts w:asciiTheme="minorHAnsi" w:hAnsiTheme="minorHAnsi" w:cstheme="minorHAnsi"/>
          <w:b/>
          <w:bCs/>
          <w:sz w:val="22"/>
          <w:szCs w:val="22"/>
        </w:rPr>
        <w:t>Calidad y Volumen de los Datos:</w:t>
      </w:r>
    </w:p>
    <w:p w14:paraId="0DEF1A37" w14:textId="77777777" w:rsidR="00D1344D" w:rsidRPr="00D1344D" w:rsidRDefault="00D1344D" w:rsidP="00D1344D">
      <w:pPr>
        <w:rPr>
          <w:rFonts w:asciiTheme="minorHAnsi" w:hAnsiTheme="minorHAnsi" w:cstheme="minorHAnsi"/>
          <w:sz w:val="22"/>
          <w:szCs w:val="22"/>
        </w:rPr>
      </w:pPr>
    </w:p>
    <w:p w14:paraId="28CD5AFE"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    </w:t>
      </w: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2,190,279 mujeres afiliadas.</w:t>
      </w: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lastRenderedPageBreak/>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8AF75" w14:textId="77777777" w:rsidR="00A45137" w:rsidRDefault="00A45137" w:rsidP="00221761">
      <w:r>
        <w:separator/>
      </w:r>
    </w:p>
  </w:endnote>
  <w:endnote w:type="continuationSeparator" w:id="0">
    <w:p w14:paraId="7E18729A" w14:textId="77777777" w:rsidR="00A45137" w:rsidRDefault="00A45137"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667A1" w14:textId="77777777" w:rsidR="00A45137" w:rsidRDefault="00A45137" w:rsidP="00221761">
      <w:r>
        <w:separator/>
      </w:r>
    </w:p>
  </w:footnote>
  <w:footnote w:type="continuationSeparator" w:id="0">
    <w:p w14:paraId="3126E049" w14:textId="77777777" w:rsidR="00A45137" w:rsidRDefault="00A45137"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017C"/>
    <w:multiLevelType w:val="hybridMultilevel"/>
    <w:tmpl w:val="10D8ACB8"/>
    <w:lvl w:ilvl="0" w:tplc="24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70AE"/>
    <w:multiLevelType w:val="hybridMultilevel"/>
    <w:tmpl w:val="BE1E05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17"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20"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10"/>
  </w:num>
  <w:num w:numId="2" w16cid:durableId="1943371128">
    <w:abstractNumId w:val="0"/>
  </w:num>
  <w:num w:numId="3" w16cid:durableId="419062279">
    <w:abstractNumId w:val="21"/>
  </w:num>
  <w:num w:numId="4" w16cid:durableId="1268585898">
    <w:abstractNumId w:val="22"/>
  </w:num>
  <w:num w:numId="5" w16cid:durableId="1018045810">
    <w:abstractNumId w:val="9"/>
  </w:num>
  <w:num w:numId="6" w16cid:durableId="85276894">
    <w:abstractNumId w:val="8"/>
  </w:num>
  <w:num w:numId="7" w16cid:durableId="1896895717">
    <w:abstractNumId w:val="14"/>
  </w:num>
  <w:num w:numId="8" w16cid:durableId="836648318">
    <w:abstractNumId w:val="3"/>
  </w:num>
  <w:num w:numId="9" w16cid:durableId="1218201502">
    <w:abstractNumId w:val="12"/>
  </w:num>
  <w:num w:numId="10" w16cid:durableId="360322664">
    <w:abstractNumId w:val="6"/>
  </w:num>
  <w:num w:numId="11" w16cid:durableId="2081705357">
    <w:abstractNumId w:val="11"/>
  </w:num>
  <w:num w:numId="12" w16cid:durableId="836532144">
    <w:abstractNumId w:val="17"/>
  </w:num>
  <w:num w:numId="13" w16cid:durableId="1711997111">
    <w:abstractNumId w:val="18"/>
  </w:num>
  <w:num w:numId="14" w16cid:durableId="1842116762">
    <w:abstractNumId w:val="2"/>
  </w:num>
  <w:num w:numId="15" w16cid:durableId="1128431503">
    <w:abstractNumId w:val="20"/>
  </w:num>
  <w:num w:numId="16" w16cid:durableId="1972206371">
    <w:abstractNumId w:val="15"/>
  </w:num>
  <w:num w:numId="17" w16cid:durableId="1255476952">
    <w:abstractNumId w:val="13"/>
  </w:num>
  <w:num w:numId="18" w16cid:durableId="857281765">
    <w:abstractNumId w:val="4"/>
  </w:num>
  <w:num w:numId="19" w16cid:durableId="860046906">
    <w:abstractNumId w:val="7"/>
  </w:num>
  <w:num w:numId="20" w16cid:durableId="254215889">
    <w:abstractNumId w:val="19"/>
  </w:num>
  <w:num w:numId="21" w16cid:durableId="390887682">
    <w:abstractNumId w:val="16"/>
  </w:num>
  <w:num w:numId="22" w16cid:durableId="519700800">
    <w:abstractNumId w:val="1"/>
  </w:num>
  <w:num w:numId="23" w16cid:durableId="452867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7714E"/>
    <w:rsid w:val="000B43A5"/>
    <w:rsid w:val="000E1DE2"/>
    <w:rsid w:val="000E403A"/>
    <w:rsid w:val="000F317A"/>
    <w:rsid w:val="000F55A9"/>
    <w:rsid w:val="000F6D1B"/>
    <w:rsid w:val="00155E08"/>
    <w:rsid w:val="00160ECF"/>
    <w:rsid w:val="001670E4"/>
    <w:rsid w:val="00175414"/>
    <w:rsid w:val="00177264"/>
    <w:rsid w:val="001835BB"/>
    <w:rsid w:val="001912C8"/>
    <w:rsid w:val="0019240C"/>
    <w:rsid w:val="00205CB7"/>
    <w:rsid w:val="00213782"/>
    <w:rsid w:val="00221761"/>
    <w:rsid w:val="00245C38"/>
    <w:rsid w:val="00245F3E"/>
    <w:rsid w:val="00253E67"/>
    <w:rsid w:val="00266FEF"/>
    <w:rsid w:val="002C41F0"/>
    <w:rsid w:val="00301FF5"/>
    <w:rsid w:val="00340616"/>
    <w:rsid w:val="00370A4F"/>
    <w:rsid w:val="00372D76"/>
    <w:rsid w:val="00387F05"/>
    <w:rsid w:val="003B6DE9"/>
    <w:rsid w:val="003F38BD"/>
    <w:rsid w:val="00435FEA"/>
    <w:rsid w:val="00436480"/>
    <w:rsid w:val="00443071"/>
    <w:rsid w:val="00443955"/>
    <w:rsid w:val="004B1464"/>
    <w:rsid w:val="0051252F"/>
    <w:rsid w:val="005308BE"/>
    <w:rsid w:val="00553900"/>
    <w:rsid w:val="0055560D"/>
    <w:rsid w:val="00581E2D"/>
    <w:rsid w:val="005B0AC8"/>
    <w:rsid w:val="005B14F1"/>
    <w:rsid w:val="005B6D25"/>
    <w:rsid w:val="005D4B0F"/>
    <w:rsid w:val="005E24CE"/>
    <w:rsid w:val="005E5462"/>
    <w:rsid w:val="00695929"/>
    <w:rsid w:val="006B3B17"/>
    <w:rsid w:val="006B4E8E"/>
    <w:rsid w:val="006C6ED8"/>
    <w:rsid w:val="006D2216"/>
    <w:rsid w:val="006E708D"/>
    <w:rsid w:val="007E5156"/>
    <w:rsid w:val="008001F2"/>
    <w:rsid w:val="00820D46"/>
    <w:rsid w:val="00855AB7"/>
    <w:rsid w:val="00855F22"/>
    <w:rsid w:val="008B590A"/>
    <w:rsid w:val="008E503A"/>
    <w:rsid w:val="00900515"/>
    <w:rsid w:val="00915219"/>
    <w:rsid w:val="00924E92"/>
    <w:rsid w:val="00951999"/>
    <w:rsid w:val="00957F53"/>
    <w:rsid w:val="00976B60"/>
    <w:rsid w:val="00982324"/>
    <w:rsid w:val="00993E5A"/>
    <w:rsid w:val="009A033D"/>
    <w:rsid w:val="009F0A8D"/>
    <w:rsid w:val="00A27A5D"/>
    <w:rsid w:val="00A45137"/>
    <w:rsid w:val="00AA390F"/>
    <w:rsid w:val="00AE50D9"/>
    <w:rsid w:val="00AF1B8B"/>
    <w:rsid w:val="00B05E0F"/>
    <w:rsid w:val="00B22D0E"/>
    <w:rsid w:val="00B43B2F"/>
    <w:rsid w:val="00BA12C2"/>
    <w:rsid w:val="00C03B23"/>
    <w:rsid w:val="00C100BE"/>
    <w:rsid w:val="00C13AFF"/>
    <w:rsid w:val="00C40FA8"/>
    <w:rsid w:val="00C45EA7"/>
    <w:rsid w:val="00C54771"/>
    <w:rsid w:val="00C578A4"/>
    <w:rsid w:val="00C8012D"/>
    <w:rsid w:val="00C93390"/>
    <w:rsid w:val="00CB50FD"/>
    <w:rsid w:val="00CF36C5"/>
    <w:rsid w:val="00D1344D"/>
    <w:rsid w:val="00D13EE9"/>
    <w:rsid w:val="00D22A79"/>
    <w:rsid w:val="00D57674"/>
    <w:rsid w:val="00DC1A80"/>
    <w:rsid w:val="00DC1F7C"/>
    <w:rsid w:val="00DC5DBF"/>
    <w:rsid w:val="00DD1C36"/>
    <w:rsid w:val="00E23744"/>
    <w:rsid w:val="00E24AA5"/>
    <w:rsid w:val="00E901A7"/>
    <w:rsid w:val="00E9147D"/>
    <w:rsid w:val="00EA1F27"/>
    <w:rsid w:val="00EB5EB8"/>
    <w:rsid w:val="00EC3BD1"/>
    <w:rsid w:val="00EE4500"/>
    <w:rsid w:val="00EE5053"/>
    <w:rsid w:val="00EF4BF1"/>
    <w:rsid w:val="00F070A5"/>
    <w:rsid w:val="00F22FDE"/>
    <w:rsid w:val="00F53E94"/>
    <w:rsid w:val="00FA10CF"/>
    <w:rsid w:val="00FA16C1"/>
    <w:rsid w:val="00FD316F"/>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1740</Words>
  <Characters>9573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10</cp:revision>
  <dcterms:created xsi:type="dcterms:W3CDTF">2024-11-26T01:40:00Z</dcterms:created>
  <dcterms:modified xsi:type="dcterms:W3CDTF">2024-11-27T01:40:00Z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