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40"/>
        </w:rPr>
        <w:t>Persistent memory for a desktop assistant</w:t>
      </w:r>
    </w:p>
    <w:p>
      <w:pPr>
        <w:spacing w:after="280"/>
        <w:jc w:val="left"/>
      </w:pPr>
      <w:r>
        <w:rPr>
          <w:i/>
          <w:color w:val="595959"/>
          <w:sz w:val="22"/>
        </w:rPr>
        <w:t>Justin Hoffman. IT 494, Fall 2026. Supervisor: Dr. Xing Fang. Draft.</w:t>
      </w:r>
    </w:p>
    <w:p>
      <w:pPr>
        <w:spacing w:before="280" w:after="120"/>
        <w:jc w:val="left"/>
      </w:pPr>
      <w:r>
        <w:rPr>
          <w:b/>
          <w:color w:val="1F3864"/>
          <w:sz w:val="28"/>
        </w:rPr>
        <w:t>The problem</w:t>
      </w:r>
    </w:p>
    <w:p>
      <w:r>
        <w:t>Conversational AI retains nothing between sessions. The standard remedy, retrieval-augmented generation, indexes past text and returns passages that look similar to the question. That answers "what did I say about X" but not "what is true of X now." Similarity ranks a superseded statement as confidently as the statement that replaced it, offers no account of where an answer came from, and cannot say that two phrasings are one fact. "Jenny is employed by GAO" and "Jennifer works at the Government Accountability Office" are the same fact, and a system that stores them as two passages does not know that.</w:t>
      </w:r>
    </w:p>
    <w:p>
      <w:r>
        <w:t>I have run a personal memory system over my own AI conversations for two years, roughly a thousand distilled summaries over twenty million tokens of transcript. It works well enough to use every day and it taught me where the real problems are: deciding that two names refer to one thing, keeping facts current without destroying the record of what was believed before, and compressing a long history into something a model can actually be handed. That system was built to prove the idea. This project builds the real one, with my own code, and measures it.</w:t>
      </w:r>
    </w:p>
    <w:p>
      <w:pPr>
        <w:spacing w:before="280" w:after="120"/>
        <w:jc w:val="left"/>
      </w:pPr>
      <w:r>
        <w:rPr>
          <w:b/>
          <w:color w:val="1F3864"/>
          <w:sz w:val="28"/>
        </w:rPr>
        <w:t>What gets built</w:t>
      </w:r>
    </w:p>
    <w:p>
      <w:r>
        <w:t>The end product is a backend for a desktop AI client. It ingests documents and chat logs, and from them builds three layers: entities with their aliases, dated facts with verbatim supporting quotes, and a running narrative of each entity across the source material. A client reads those layers as context. Facts are never overwritten. A new fact supersedes an old one at read time, and the superseding is itself part of what the system knows.</w:t>
      </w:r>
    </w:p>
    <w:p>
      <w:r>
        <w:t>The fall semester builds and tests the methodology on literature rather than on private data, for one reason: you cannot publish measurements taken on a personal life. The working hypothesis is that fiction fed in narrative order behaves like a life recorded in chat. Characters accumulate names, facts change while old ones stay true of their time, and many threads run through one document. In the second Oz book a boy named Tip is revealed to be the transformed princess Ozma. Everything asserted about Tip stays true of the period it was asserted in, and everything after must attach to the same entity under a new name. That is the same event, structurally, as a course pivoting or a colleague changing jobs, and it arrives with ground truth attached.</w:t>
      </w:r>
    </w:p>
    <w:p>
      <w:r>
        <w:t>Four public-domain corpora are already assembled, 81 files and about 6.9 million words: the Oz canon, the complete Sherlock Holmes, the major Greek mythological sources, and the Chinese classical novels. Oz supplies the supersession fixture and a mid-canon change of author. Holmes contributes a contradiction Doyle never reconciled and a contamination probe: the deerstalker cap belongs to the illustrations, not the text, so if an induced description of Holmes contains one, the description came from the model's training and not from my store. The Greek corpus supplies irreconcilable disagreement between sources and hundreds of free entity-resolution test pairs, since Ovid names in Latin what Homer names in Greek. The Chinese corpus holds the same novel as proofread text, raw OCR, and machine translation, which lets me measure what OCR error and translation error each cost the pipeline.</w:t>
      </w:r>
    </w:p>
    <w:p>
      <w:r>
        <w:t>The visible artifact is a wiki assembled mechanically from the store: infobox from fact rows, lead paragraph from the entity summary, biography from the narrative layer, every claim traceable to a verbatim quote. A second version of each page is then written freely by a strong model reading the same store. The assembled page cannot contain anything the text never said; the generated page can; the difference between them is a fabrication measurement a reader can check by eye.</w:t>
      </w:r>
    </w:p>
    <w:p>
      <w:pPr>
        <w:spacing w:before="280" w:after="120"/>
        <w:jc w:val="left"/>
      </w:pPr>
      <w:r>
        <w:rPr>
          <w:b/>
          <w:color w:val="1F3864"/>
          <w:sz w:val="28"/>
        </w:rPr>
        <w:t>What gets measured</w:t>
      </w:r>
    </w:p>
    <w:p>
      <w:r>
        <w:t>I checked twelve candidate ideas against published work and every one of them is already taken, including the ones I thought were mine. That settles what kind of paper this is. The venues that fit this work say novelty is optional and rigorous measurement is the price, so the paper is: here is a working system, and here is what each part of it is worth. I build it, switch parts off one at a time, and report what each costs. The class project and the paper are the same work.</w:t>
      </w:r>
    </w:p>
    <w:p>
      <w:r>
        <w:t>One question in the design is genuinely open. Every system I would compare against resolves entities using name similarity, embeddings, or a model's verdict. Mine also scores co-occurrence, whether the surrounding cast matches, and a low-confidence profile inferred from context. Collective entity resolution established the idea in 2007; whether the relational signal still pays when the base matcher is an embedding and a language model is unmeasured, and one of the systems in my comparison table asks for exactly this in its future work. That is the measurement I most want to land.</w:t>
      </w:r>
    </w:p>
    <w:p>
      <w:r>
        <w:t>Five measurements are committed for the semester.</w:t>
      </w:r>
    </w:p>
    <w:p>
      <w:r>
        <w:t>First, question answering on GraphRAG-Bench, a benchmark of 2,010 questions with gold answers and gold evidence over twenty pre-1900 novels, where nine systems have published numbers under the same reader model. I run the full system, a no-context control, and flat retrieval, then once more with the per-entity narratives switched off. Their own results give the target: the best system spends about a thousand tokens per question and the most expensive spends over three hundred thousand, so accuracy per token is where a serverless design can show up.</w:t>
      </w:r>
    </w:p>
    <w:p>
      <w:r>
        <w:t>Second, resolution accuracy against a hand-labeled alias set over one novel, built in the first week and scored from the very first ingest.</w:t>
      </w:r>
    </w:p>
    <w:p>
      <w:r>
        <w:t>Third, question answering on NarrativeQA, which happens to include 345 human-written questions over twelve books already in my corpora, run through the same three arms.</w:t>
      </w:r>
    </w:p>
    <w:p>
      <w:r>
        <w:t>Fourth, the instruments that fall out of running the pipeline at all: duplicate entities minted per chapter, the rate at which extracted quotes fail to appear verbatim in their source, predicate sprawl, token cost per stage and per model tier, agreement between the chapter-level and entity-level summaries, which describe the same text independently and catch each other's omissions, and the cost of keeping summaries current as the corpus grows, set against published figures for full-rebuild systems.</w:t>
      </w:r>
    </w:p>
    <w:p>
      <w:r>
        <w:t>Fifth, the corpus controls: the OCR tax and the translation tax, each isolated by comparing pipeline output over the same content in two forms.</w:t>
      </w:r>
    </w:p>
    <w:p>
      <w:r>
        <w:t>If the schedule holds, one stretch item: LongMemEval, the chat-memory benchmark where the nearest commercial system published its numbers. I run the full-context arm first to prove my harness reproduces their baseline, then the 78 questions that test knowledge updates, which is supersession under its benchmark name. The full comparison belongs to spring.</w:t>
      </w:r>
    </w:p>
    <w:p>
      <w:r>
        <w:t>Every model call in the pipeline goes through two narrow interfaces, so models swap freely and every run records which tier ran each stage. The pipeline is my code end to end; the model is the only black box. Judged scoring, where unavoidable, runs on a model tier that never writes anything in the pipeline, calibrated against a hand-labeled sample first.</w:t>
      </w:r>
    </w:p>
    <w:p>
      <w:pPr>
        <w:spacing w:before="280" w:after="120"/>
        <w:jc w:val="left"/>
      </w:pPr>
      <w:r>
        <w:rPr>
          <w:b/>
          <w:color w:val="1F3864"/>
          <w:sz w:val="28"/>
        </w:rPr>
        <w:t>The fall calendar</w:t>
      </w:r>
    </w:p>
    <w:p>
      <w:r>
        <w:t>Dr. Fang approved the topic change in person on August 28; the one-semester form is the remaining paperwork. The semester has two open blocks, now through September 27 and October 19 through November 15, with three exam weeks between them where nothing gets scheduled.</w:t>
      </w:r>
    </w:p>
    <w:p>
      <w:r>
        <w:t>By September 2 a single chapter runs end to end: split, cast identified, entities and facts extracted behind the quote gate, chapter and entity summaries written, and a small graph rendered. By September 14 all four corpora are split into clean, verified units and published as a public dataset, which is the reproducibility piece: everything is public domain, so anyone can rerun the study. By September 27 the store and pipeline have run over the first Oz book at three model tiers and the alias set is scored. The benchmark arms and the ablation run October 19 to 26, right after the exam block. The dataset gets its DOI by November 10, the paper freezes November 15, and the preprint goes to arXiv the next day. The wiki demonstration stands up alongside the writing.</w:t>
      </w:r>
    </w:p>
    <w:p>
      <w:r>
        <w:t>The spring semester wraps the proven methodology in the desktop product, points it at real chat exports, and ships something a person can install. That work is out of scope for the fall.</w:t>
      </w:r>
    </w:p>
    <w:p>
      <w:r>
        <w:t>Hours are the binding constraint; the compute is a few dollars to a few hundred at batch rates for the full four-corpus run. When something slips, I cut corpus scope and keep every committed measurement.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