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morning study of the Essence Sphere at Aelwyn's workbench.</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Professor Aelwyn Ravenstone, planar researcher.</w:t>
      </w:r>
    </w:p>
    <w:p>
      <w:pPr>
        <w:keepNext/>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Aelwyn presents the three little wonders: Floraburst, Aqualump, and Emberpaws.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20" w:after="40"/>
        <w:jc w:val="center"/>
      </w:pPr>
      <w:r>
        <w:drawing>
          <wp:inline xmlns:a="http://schemas.openxmlformats.org/drawingml/2006/main" xmlns:pic="http://schemas.openxmlformats.org/drawingml/2006/picture">
            <wp:extent cx="3657600" cy="36576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Floraburst, the party's chosen companion.</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Lickgloom finds a home among Ravenstone's wonders.</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path into Brambleshadow Thicket, where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Shadowflame splits into a hall of grinning illusions.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One golden afternoon of kindness: Whisperwind Meadow.</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talking Displacer Beasts flow out of the Mistwood fog.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keepNext/>
        <w:spacing w:before="120" w:after="40"/>
        <w:jc w:val="center"/>
      </w:pPr>
      <w:r>
        <w:drawing>
          <wp:inline xmlns:a="http://schemas.openxmlformats.org/drawingml/2006/main" xmlns:pic="http://schemas.openxmlformats.org/drawingml/2006/picture">
            <wp:extent cx="2377440" cy="237744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approach into the Ironroot Hills, every rise crowned with glowing caps.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keepNext/>
        <w:spacing w:before="120" w:after="40"/>
        <w:jc w:val="center"/>
      </w:pPr>
      <w:r>
        <w:drawing>
          <wp:inline xmlns:a="http://schemas.openxmlformats.org/drawingml/2006/main" xmlns:pic="http://schemas.openxmlformats.org/drawingml/2006/picture">
            <wp:extent cx="3474720" cy="34747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Shroomytes rise from the glowing grove of the Ironroot Hills.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120" w:after="40"/>
        <w:jc w:val="center"/>
      </w:pPr>
      <w:r>
        <w:drawing>
          <wp:inline xmlns:a="http://schemas.openxmlformats.org/drawingml/2006/main" xmlns:pic="http://schemas.openxmlformats.org/drawingml/2006/picture">
            <wp:extent cx="3840480" cy="384048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Dark Figure looms over the monoliths of the Stormwatch Cliffs.</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keepNext/>
        <w:spacing w:before="120" w:after="40"/>
        <w:jc w:val="center"/>
      </w:pPr>
      <w:r>
        <w:drawing>
          <wp:inline xmlns:a="http://schemas.openxmlformats.org/drawingml/2006/main" xmlns:pic="http://schemas.openxmlformats.org/drawingml/2006/picture">
            <wp:extent cx="3840480" cy="38404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Guardians descend to festive Havenmoor at dusk.</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spacing w:after="80"/>
      </w:pPr>
      <w:r>
        <w:rPr>
          <w:rFonts w:ascii="Georgia" w:hAnsi="Georgia" w:cs="Georgia"/>
          <w:b w:val="0"/>
          <w:i w:val="0"/>
          <w:color w:val="222222"/>
          <w:sz w:val="21"/>
        </w:rPr>
        <w:t>Compact statistics for the table; the full bestiary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spacing w:before="220" w:after="60"/>
      </w:pPr>
      <w:r>
        <w:rPr>
          <w:rFonts w:ascii="Georgia" w:hAnsi="Georgia" w:cs="Georgia"/>
          <w:b/>
          <w:color w:val="A0522D"/>
          <w:sz w:val="26"/>
        </w:rPr>
        <w:t>The Professor's Companions</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