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any of his three partners summoned at level 4 for free (2 Rend attacks, AC 15, and 50 Hit Points, or 40 for Noctowl), each with its own trait and signature move, Wild Speech with any beast he summons, and the Wildheart Token (once per dawn, a partner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partners grow as his highest spell slot grows, no new feat required. At Druid level 11 the spell rises to level 6 and each partner makes 3 Rend attacks.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Warden's Mantle in every constellation (Starlight kindled to 20 feet with a +1 bonus to attack rolls and saving throws for every ally inside, the kindled staff dealing Radiant damage with an extra 1d6 Radiant damage on a hit, and Warden's Intercession, a Reaction that reduces the damage an ally in the glow takes by 1d8 plus his Wisdom modifier), one Constellation Gift for whichever form he wears (Archer, Chalice, or Dragon),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staff's extra Radiant damage grows to 2d6 at Druid level 11 and 3d6 at Druid level 17. The mantle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two dreamed d20s a day (rolled after every Long Rest and spent before the die falls), both Weal and Woe after every Long Rest with the patience to expend them after the d20 is rolled (but before the outcome is known), a pool of five uses a day, and Ash's Sigil-Stone (two charges at dawn for Ask the Day, Glimpse the Trail, or Read the Heart, plus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A fire nova (Cinderstorm), a lull that stills a warband (the Drowning Lull), a tailwind at every ally's back (Tailwind), the ground turned weapon (Tectonic Slam), and a shadow's hungry pull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