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r>
        <w:br w:type="page"/>
      </w:r>
    </w:p>
    <w:p>
      <w:pPr>
        <w:spacing w:after="80"/>
      </w:pPr>
      <w:r>
        <w:rPr>
          <w:rFonts w:ascii="Georgia" w:hAnsi="Georgia" w:cs="Georgia"/>
          <w:b/>
          <w:i w:val="0"/>
          <w:color w:val="222222"/>
          <w:sz w:val="21"/>
        </w:rPr>
        <w:t>The guardians of the hold</w:t>
      </w:r>
      <w:r>
        <w:rPr>
          <w:rFonts w:ascii="Georgia" w:hAnsi="Georgia" w:cs="Georgia"/>
          <w:b w:val="0"/>
          <w:i w:val="0"/>
          <w:color w:val="222222"/>
          <w:sz w:val="21"/>
        </w:rPr>
        <w:t xml:space="preserve"> (Part Five). Every one of them is vulnerable to cold, and the heroes' frost was the whole battle plan.</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