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keepNext/>
        <w:spacing w:before="400" w:after="120"/>
        <w:pBdr>
          <w:bottom w:val="single" w:sz="6" w:space="4" w:color="B8860B"/>
        </w:pBdr>
      </w:pPr>
      <w:r>
        <w:rPr>
          <w:rFonts w:ascii="Georgia" w:hAnsi="Georgia" w:cs="Georgia"/>
          <w:b/>
          <w:color w:val="B8860B"/>
          <w:sz w:val="32"/>
        </w:rPr>
        <w:t>Sandshrew</w:t>
      </w:r>
    </w:p>
    <w:p>
      <w:pPr>
        <w:pBdr>
          <w:left w:val="single" w:sz="18" w:space="12" w:color="B8860B"/>
        </w:pBdr>
        <w:shd w:val="clear" w:color="auto" w:fill="FBF6EA"/>
        <w:spacing w:before="30" w:after="70"/>
        <w:ind w:left="340" w:right="340"/>
      </w:pPr>
      <w:r>
        <w:rPr>
          <w:rFonts w:ascii="Georgia" w:hAnsi="Georgia" w:cs="Georgia"/>
          <w:b w:val="0"/>
          <w:i/>
          <w:color w:val="222222"/>
          <w:sz w:val="21"/>
        </w:rPr>
        <w:t>The Earth rift's companion and the roster's tank. It holds ground, takes the hit meant for a friend, and makes the dirt around it hard to cross.</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w:t>
            </w:r>
            <w:r>
              <w:rPr>
                <w:rFonts w:ascii="Georgia" w:hAnsi="Georgia" w:cs="Georgia"/>
                <w:b w:val="0"/>
                <w:i w:val="0"/>
                <w:color w:val="222222"/>
                <w:sz w:val="17"/>
              </w:rPr>
              <w:t xml:space="preserve"> Sandshrew rears up with a rattling hiss and dares them to try it. Until the start of its next turn, each enemy within 30 feet that can see it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tc>
      </w:tr>
    </w:tbl>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