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w:t>
            </w:r>
            <w:r>
              <w:rPr>
                <w:rFonts w:ascii="Georgia" w:hAnsi="Georgia" w:cs="Georgia"/>
                <w:b w:val="0"/>
                <w:i w:val="0"/>
                <w:color w:val="222222"/>
                <w:sz w:val="17"/>
              </w:rPr>
              <w:t xml:space="preserve"> Sandshrew rears up with a rattling hiss and dares them to try it. Until the start of its next turn, each enemy within 30 feet that can see it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