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keepNext/>
        <w:spacing w:before="400" w:after="120"/>
        <w:pBdr>
          <w:bottom w:val="single" w:sz="6" w:space="4" w:color="B8860B"/>
        </w:pBdr>
      </w:pPr>
      <w:r>
        <w:rPr>
          <w:rFonts w:ascii="Georgia" w:hAnsi="Georgia" w:cs="Georgia"/>
          <w:b/>
          <w:color w:val="B8860B"/>
          <w:sz w:val="32"/>
        </w:rPr>
        <w:t>Sandshrew</w:t>
      </w:r>
    </w:p>
    <w:p>
      <w:pPr>
        <w:pBdr>
          <w:left w:val="single" w:sz="18" w:space="12" w:color="B8860B"/>
        </w:pBdr>
        <w:shd w:val="clear" w:color="auto" w:fill="FBF6EA"/>
        <w:spacing w:before="30" w:after="70"/>
        <w:ind w:left="340" w:right="340"/>
      </w:pPr>
      <w:r>
        <w:rPr>
          <w:rFonts w:ascii="Georgia" w:hAnsi="Georgia" w:cs="Georgia"/>
          <w:b w:val="0"/>
          <w:i/>
          <w:color w:val="222222"/>
          <w:sz w:val="21"/>
        </w:rPr>
        <w:t>The Earth rift's companion and the roster's tank. It holds ground, takes the hit meant for a friend, and makes the dirt around it hard to cross.</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tc>
      </w:tr>
    </w:tbl>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