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pageBreakBefore/>
        <w:spacing w:before="360" w:after="120"/>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80" w:after="8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160"/>
        <w:jc w:val="center"/>
      </w:pPr>
      <w:r>
        <w:drawing>
          <wp:inline xmlns:a="http://schemas.openxmlformats.org/drawingml/2006/main" xmlns:pic="http://schemas.openxmlformats.org/drawingml/2006/picture">
            <wp:extent cx="3566160" cy="35661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Lilly Glimmergear, able seagnome of the Stormwind.</w:t>
      </w:r>
    </w:p>
    <w:p>
      <w:pPr>
        <w:keepNext/>
        <w:spacing w:before="280" w:after="8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360" w:after="120"/>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280" w:after="8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80" w:after="8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80" w:after="8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80" w:after="8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360" w:after="120"/>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80" w:after="8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keepNext/>
        <w:spacing w:before="16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In the lantern glow of the Dutchman's hold, Lilly keeps the Essence Sphere close.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pageBreakBefore/>
        <w:spacing w:before="360" w:after="120"/>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360" w:after="120"/>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keepNext/>
        <w:spacing w:before="16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80"/>
        <w:jc w:val="center"/>
      </w:pPr>
      <w:r>
        <w:rPr>
          <w:rFonts w:ascii="Georgia" w:hAnsi="Georgia" w:cs="Georgia"/>
          <w:i/>
          <w:color w:val="888888"/>
          <w:sz w:val="18"/>
        </w:rPr>
        <w:t>Stabby Sharpblade, blade drawn on the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80" w:after="8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360" w:after="120"/>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80" w:after="8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80" w:after="8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360" w:after="120"/>
      </w:pPr>
      <w:r>
        <w:rPr>
          <w:rFonts w:ascii="Georgia" w:hAnsi="Georgia" w:cs="Georgia"/>
          <w:b/>
          <w:color w:val="B8860B"/>
          <w:sz w:val="32"/>
        </w:rPr>
        <w:t>Appendix: Creatures of Session Five</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