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keepNext/>
        <w:spacing w:before="120" w:after="40"/>
        <w:jc w:val="center"/>
      </w:pPr>
      <w:r>
        <w:drawing>
          <wp:inline xmlns:a="http://schemas.openxmlformats.org/drawingml/2006/main" xmlns:pic="http://schemas.openxmlformats.org/drawingml/2006/picture">
            <wp:extent cx="2468880" cy="24688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keepNext/>
        <w:spacing w:before="120" w:after="40"/>
        <w:jc w:val="center"/>
      </w:pPr>
      <w:r>
        <w:drawing>
          <wp:inline xmlns:a="http://schemas.openxmlformats.org/drawingml/2006/main" xmlns:pic="http://schemas.openxmlformats.org/drawingml/2006/picture">
            <wp:extent cx="246888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Ursa Catchum, son of Ash, with one of his father's enchanted potatoes.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120" w:after="40"/>
        <w:jc w:val="center"/>
      </w:pPr>
      <w:r>
        <w:drawing>
          <wp:inline xmlns:a="http://schemas.openxmlformats.org/drawingml/2006/main" xmlns:pic="http://schemas.openxmlformats.org/drawingml/2006/picture">
            <wp:extent cx="246888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468880" cy="2468880"/>
                    </a:xfrm>
                    <a:prstGeom prst="rect"/>
                  </pic:spPr>
                </pic:pic>
              </a:graphicData>
            </a:graphic>
          </wp:inline>
        </w:drawing>
      </w:r>
    </w:p>
    <w:p>
      <w:pPr>
        <w:spacing w:after="140"/>
        <w:jc w:val="center"/>
      </w:pPr>
      <w:r>
        <w:rPr>
          <w:rFonts w:ascii="Georgia" w:hAnsi="Georgia" w:cs="Georgia"/>
          <w:i/>
          <w:color w:val="888888"/>
          <w:sz w:val="18"/>
        </w:rPr>
        <w:t>Stabby Sharpblade of the Bloodfang Clan.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Into the Forest of Whispers.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