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48DD6740" w14:textId="77777777" w:rsidR="004706E6" w:rsidRDefault="00AC642F">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no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no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no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no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no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no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no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no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its teal glow lighting the cage, and then, the deeper you go, its light begins to flutter, like a candle in a draft. It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its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it forces itself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it has to push toward the wrongness to help. Save it for a dropped hero, not to trivialize the fight. It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its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candy-cane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no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no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its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itself against Ursa’s shoulder, and little by little its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its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keepNext/>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it was in the Underworks, it darts and shields and heals more confidently. Nice contrast to Part 4. Give it a hopeful line. One caution: Ghostbloom is vulnerable to fire and cold: keep it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no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no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its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it’ll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pPr>
        <w:jc w:val="center"/>
      </w:pPr>
      <w:r>
        <w:drawing>
          <wp:inline xmlns:a="http://schemas.openxmlformats.org/drawingml/2006/main" xmlns:pic="http://schemas.openxmlformats.org/drawingml/2006/picture">
            <wp:extent cx="5486400" cy="3657600"/>
            <wp:docPr id="2123351648" name="Picture 2123351648"/>
            <wp:cNvGraphicFramePr>
              <a:graphicFrameLocks noChangeAspect="1"/>
            </wp:cNvGraphicFramePr>
            <a:graphic>
              <a:graphicData uri="http://schemas.openxmlformats.org/drawingml/2006/picture">
                <pic:pic>
                  <pic:nvPicPr>
                    <pic:cNvPr id="0" name="s7_one_year_later.png"/>
                    <pic:cNvPicPr/>
                  </pic:nvPicPr>
                  <pic:blipFill>
                    <a:blip r:embed="rId52"/>
                    <a:stretch>
                      <a:fillRect/>
                    </a:stretch>
                  </pic:blipFill>
                  <pic:spPr>
                    <a:xfrm>
                      <a:off x="0" y="0"/>
                      <a:ext cx="5486400" cy="3657600"/>
                    </a:xfrm>
                    <a:prstGeom prst="rect"/>
                  </pic:spPr>
                </pic:pic>
              </a:graphicData>
            </a:graphic>
          </wp:inline>
        </w:drawing>
      </w:r>
    </w:p>
    <w:p>
      <w:pPr>
        <w:jc w:val="center"/>
      </w:pPr>
      <w:r>
        <w:rPr>
          <w:i/>
          <w:color w:val="888888"/>
          <w:sz w:val="18"/>
        </w:rPr>
        <w:t>A year on, the great ring waits in a quiet workshop for three roads to lead back to one door.</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CHAIN LIGHTNING BURST rech 5–6 (+8, 4d8, arcs to two more, DC 15 Dex half), meant to be ANSWERED: Lilly’s Shield, Stabby’s Deflect (his awakening: cue it here), Absorb Elements;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