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120" w:after="40"/>
        <w:jc w:val="center"/>
      </w:pPr>
      <w:r>
        <w:drawing>
          <wp:inline xmlns:a="http://schemas.openxmlformats.org/drawingml/2006/main" xmlns:pic="http://schemas.openxmlformats.org/drawingml/2006/picture">
            <wp:extent cx="36576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Gilded Acorn on the night three strangers became a party.</w:t>
      </w:r>
    </w:p>
    <w:p>
      <w:pPr>
        <w:keepNext/>
        <w:spacing w:before="220" w:after="60"/>
      </w:pPr>
      <w:r>
        <w:rPr>
          <w:rFonts w:ascii="Georgia" w:hAnsi="Georgia" w:cs="Georgia"/>
          <w:b/>
          <w:color w:val="A0522D"/>
          <w:sz w:val="26"/>
        </w:rPr>
        <w:t>Lilly's Arrival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keepNext/>
        <w:spacing w:before="120" w:after="40"/>
        <w:jc w:val="center"/>
      </w:pPr>
      <w:r>
        <w:drawing>
          <wp:inline xmlns:a="http://schemas.openxmlformats.org/drawingml/2006/main" xmlns:pic="http://schemas.openxmlformats.org/drawingml/2006/picture">
            <wp:extent cx="246888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Oakshade at twilight, its cottages tucked in the pockets of ancient oaks.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