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keepNext/>
        <w:spacing w:before="120" w:after="4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120" w:after="40"/>
        <w:jc w:val="center"/>
      </w:pPr>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The Gilded Acorn on the night three strangers became a party.</w:t>
      </w:r>
    </w:p>
    <w:p>
      <w:pPr>
        <w:keepNext/>
        <w:spacing w:before="220" w:after="60"/>
      </w:pPr>
      <w:r>
        <w:rPr>
          <w:rFonts w:ascii="Georgia" w:hAnsi="Georgia" w:cs="Georgia"/>
          <w:b/>
          <w:color w:val="A0522D"/>
          <w:sz w:val="26"/>
        </w:rPr>
        <w:t>Lilly's Arrival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3383280" cy="3383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383280" cy="3383280"/>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20" w:after="60"/>
      </w:pPr>
      <w:r>
        <w:rPr>
          <w:rFonts w:ascii="Georgia" w:hAnsi="Georgia" w:cs="Georgia"/>
          <w:b/>
          <w:color w:val="A0522D"/>
          <w:sz w:val="26"/>
        </w:rPr>
        <w:t>The Stone Circle and the Duck with the Leek</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keepNext/>
        <w:spacing w:before="120" w:after="4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Oakshade at twilight, its cottages tucked in the pockets of ancient oaks.</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