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or </w:t>
      </w:r>
      <w:r>
        <w:rPr>
          <w:rFonts w:ascii="Georgia" w:hAnsi="Georgia" w:cs="Georgia"/>
          <w:b/>
          <w:i w:val="0"/>
          <w:color w:val="222222"/>
          <w:sz w:val="19"/>
        </w:rPr>
        <w:t>7d8 force damage and knocked prone</w:t>
      </w:r>
      <w:r>
        <w:rPr>
          <w:rFonts w:ascii="Georgia" w:hAnsi="Georgia" w:cs="Georgia"/>
          <w:b w:val="0"/>
          <w:i w:val="0"/>
          <w:color w:val="222222"/>
          <w:sz w:val="19"/>
        </w:rPr>
        <w:t xml:space="preserve">, and the raised stone stays: difficult terrain, 5 piercing for every 5 feet a creature moves through it, and half cover for her and her friends until the start of her next turn. She has </w:t>
      </w:r>
      <w:r>
        <w:rPr>
          <w:rFonts w:ascii="Georgia" w:hAnsi="Georgia" w:cs="Georgia"/>
          <w:b/>
          <w:i w:val="0"/>
          <w:color w:val="222222"/>
          <w:sz w:val="19"/>
        </w:rPr>
        <w:t>one use</w:t>
      </w:r>
      <w:r>
        <w:rPr>
          <w:rFonts w:ascii="Georgia" w:hAnsi="Georgia" w:cs="Georgia"/>
          <w:b w:val="0"/>
          <w:i w:val="0"/>
          <w:color w:val="222222"/>
          <w:sz w:val="19"/>
        </w:rPr>
        <w:t xml:space="preserve">, and it comes back on a long rest.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