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STABBY</w:t>
      </w:r>
    </w:p>
    <w:p>
      <w:pPr>
        <w:jc w:val="center"/>
      </w:pPr>
      <w:r>
        <w:rPr>
          <w:rFonts w:ascii="Georgia" w:hAnsi="Georgia" w:cs="Georgia"/>
          <w:b/>
          <w:color w:val="A0522D"/>
          <w:sz w:val="34"/>
        </w:rPr>
        <w:t>Warrior of Breathing</w:t>
      </w:r>
    </w:p>
    <w:p>
      <w:pPr>
        <w:spacing w:before="200" w:after="320"/>
        <w:jc w:val="center"/>
      </w:pPr>
      <w:r>
        <w:rPr>
          <w:rFonts w:ascii="Georgia" w:hAnsi="Georgia" w:cs="Georgia"/>
          <w:i/>
          <w:color w:val="888888"/>
          <w:sz w:val="19"/>
        </w:rPr>
        <w:t>A player handout for The Guardians of Elaria. Choose your door with open eyes.</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