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36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pageBreakBefore/>
        <w:spacing w:before="360" w:after="120"/>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80" w:after="8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pageBreakBefore/>
        <w:spacing w:before="360" w:after="120"/>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80" w:after="8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80" w:after="8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80" w:after="8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80" w:after="8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pageBreakBefore/>
        <w:spacing w:before="360" w:after="120"/>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pageBreakBefore/>
        <w:spacing w:before="360" w:after="120"/>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80" w:after="8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80" w:after="8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80" w:after="8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80" w:after="8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pageBreakBefore/>
        <w:spacing w:before="360" w:after="120"/>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60"/>
        <w:jc w:val="center"/>
      </w:pPr>
      <w:r>
        <w:drawing>
          <wp:inline xmlns:a="http://schemas.openxmlformats.org/drawingml/2006/main" xmlns:pic="http://schemas.openxmlformats.org/drawingml/2006/picture">
            <wp:extent cx="4023360" cy="40233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023360" cy="4023360"/>
                    </a:xfrm>
                    <a:prstGeom prst="rect"/>
                  </pic:spPr>
                </pic:pic>
              </a:graphicData>
            </a:graphic>
          </wp:inline>
        </w:drawing>
      </w:r>
    </w:p>
    <w:p>
      <w:pPr>
        <w:spacing w:after="180"/>
        <w:jc w:val="center"/>
      </w:pPr>
      <w:r>
        <w:rPr>
          <w:rFonts w:ascii="Georgia" w:hAnsi="Georgia" w:cs="Georgia"/>
          <w:i/>
          <w:color w:val="888888"/>
          <w:sz w:val="18"/>
        </w:rPr>
        <w:t>The Krampusshade comes for Havenmoor.</w:t>
      </w:r>
    </w:p>
    <w:p>
      <w:pPr>
        <w:keepNext/>
        <w:spacing w:before="280" w:after="8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80" w:after="8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80" w:after="8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keepNext/>
        <w:spacing w:before="160"/>
        <w:jc w:val="center"/>
      </w:pPr>
      <w:r>
        <w:drawing>
          <wp:inline xmlns:a="http://schemas.openxmlformats.org/drawingml/2006/main" xmlns:pic="http://schemas.openxmlformats.org/drawingml/2006/picture">
            <wp:extent cx="4023360" cy="40233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023360" cy="4023360"/>
                    </a:xfrm>
                    <a:prstGeom prst="rect"/>
                  </pic:spPr>
                </pic:pic>
              </a:graphicData>
            </a:graphic>
          </wp:inline>
        </w:drawing>
      </w:r>
    </w:p>
    <w:p>
      <w:pPr>
        <w:spacing w:after="180"/>
        <w:jc w:val="center"/>
      </w:pPr>
      <w:r>
        <w:rPr>
          <w:rFonts w:ascii="Georgia" w:hAnsi="Georgia" w:cs="Georgia"/>
          <w:i/>
          <w:color w:val="888888"/>
          <w:sz w:val="18"/>
        </w:rPr>
        <w:t>Lilly Glimmergear and the Frostbite Shard Dagger, on the brightest morning of the festival.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60"/>
        <w:jc w:val="center"/>
      </w:pPr>
      <w:r>
        <w:drawing>
          <wp:inline xmlns:a="http://schemas.openxmlformats.org/drawingml/2006/main" xmlns:pic="http://schemas.openxmlformats.org/drawingml/2006/picture">
            <wp:extent cx="4023360" cy="40233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23360" cy="4023360"/>
                    </a:xfrm>
                    <a:prstGeom prst="rect"/>
                  </pic:spPr>
                </pic:pic>
              </a:graphicData>
            </a:graphic>
          </wp:inline>
        </w:drawing>
      </w:r>
    </w:p>
    <w:p>
      <w:pPr>
        <w:spacing w:after="18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360" w:after="120"/>
      </w:pPr>
      <w:r>
        <w:rPr>
          <w:rFonts w:ascii="Georgia" w:hAnsi="Georgia" w:cs="Georgia"/>
          <w:b/>
          <w:color w:val="B8860B"/>
          <w:sz w:val="32"/>
        </w:rPr>
        <w:t>Appendix: Creatures of Session Four</w:t>
      </w:r>
    </w:p>
    <w:p>
      <w:pPr>
        <w:spacing w:after="12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