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lost herb gatherers walk home at last, and Oakshade cheers its newest heroes.</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rewires for lightning as the giggling Mudskips burst from the pools.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Stabby squares off alone as the Grimfang war band boils out of the brush.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Terranox, the stone serpent, rears from the mountain path in a rain of floating rock.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Inside Ravenstone Laboratory, where the instruments never quite sleep.</w:t>
      </w:r>
    </w:p>
    <w:p>
      <w:pPr>
        <w:keepNext/>
        <w:spacing w:before="220" w:after="60"/>
      </w:pPr>
      <w:r>
        <w:rPr>
          <w:rFonts w:ascii="Georgia" w:hAnsi="Georgia" w:cs="Georgia"/>
          <w:b/>
          <w:color w:val="A0522D"/>
          <w:sz w:val="26"/>
        </w:rPr>
        <w:t>Professor Aelwyn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keepNext/>
        <w:spacing w:before="120" w:after="40"/>
        <w:jc w:val="center"/>
      </w:pPr>
      <w:r>
        <w:drawing>
          <wp:inline xmlns:a="http://schemas.openxmlformats.org/drawingml/2006/main" xmlns:pic="http://schemas.openxmlformats.org/drawingml/2006/picture">
            <wp:extent cx="3108960" cy="310896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Professor Aelwyn Ravenstone, planar researcher of Ravenstone Laboratory.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