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3" name="Picture 53"/>
            <wp:cNvGraphicFramePr/>
            <a:graphic xmlns:pic="http://schemas.openxmlformats.org/drawingml/2006/picture">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4" name="Picture 54"/>
            <wp:cNvGraphicFramePr/>
            <a:graphic xmlns:pic="http://schemas.openxmlformats.org/drawingml/2006/picture">
              <a:graphicData uri="http://schemas.openxmlformats.org/drawingml/2006/picture">
                <pic:pic>
                  <pic:nvPicPr>
                    <pic:cNvPr id="0" name="image.jpg"/>
                    <pic:cNvPicPr/>
                  </pic:nvPicPr>
                  <pic:blipFill>
                    <a:blip r:embed="rId63"/>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2" name="Picture 62"/>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40-foot-radius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must succeed on a Dexterity saving throw or take 7d8 Force damage and have the Prone condition.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