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pageBreakBefore/>
        <w:spacing w:before="360" w:after="120"/>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80" w:after="8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80" w:after="8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80" w:after="8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pageBreakBefore/>
        <w:spacing w:before="360" w:after="120"/>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80" w:after="8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80" w:after="8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6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926080" cy="2926080"/>
                    </a:xfrm>
                    <a:prstGeom prst="rect"/>
                  </pic:spPr>
                </pic:pic>
              </a:graphicData>
            </a:graphic>
          </wp:inline>
        </w:drawing>
      </w:r>
    </w:p>
    <w:p>
      <w:pPr>
        <w:spacing w:after="180"/>
        <w:jc w:val="center"/>
      </w:pPr>
      <w:r>
        <w:rPr>
          <w:rFonts w:ascii="Georgia" w:hAnsi="Georgia" w:cs="Georgia"/>
          <w:i/>
          <w:color w:val="888888"/>
          <w:sz w:val="18"/>
        </w:rPr>
        <w:t>The fang and claw sigil of the Grimfang, rivals of Stabby's Bloodfang Clan.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pageBreakBefore/>
        <w:spacing w:before="360" w:after="120"/>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80" w:after="8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pageBreakBefore/>
        <w:spacing w:before="360" w:after="120"/>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The earthquake stomp knocks everyone sprawling among the tumbling rocks. Fire splashes off the creature like rain off a roof, so Lilly rewires her cannon on her knees in the dark, shouting numbers to herself, and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360" w:after="120"/>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60"/>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54880" cy="4754880"/>
                    </a:xfrm>
                    <a:prstGeom prst="rect"/>
                  </pic:spPr>
                </pic:pic>
              </a:graphicData>
            </a:graphic>
          </wp:inline>
        </w:drawing>
      </w:r>
    </w:p>
    <w:p>
      <w:pPr>
        <w:spacing w:after="180"/>
        <w:jc w:val="center"/>
      </w:pPr>
      <w:r>
        <w:rPr>
          <w:rFonts w:ascii="Georgia" w:hAnsi="Georgia" w:cs="Georgia"/>
          <w:i/>
          <w:color w:val="888888"/>
          <w:sz w:val="18"/>
        </w:rPr>
        <w:t>Inside Ravenstone Laboratory, where the instruments never quite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80" w:after="8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6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80" w:after="8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360" w:after="120"/>
      </w:pPr>
      <w:r>
        <w:rPr>
          <w:rFonts w:ascii="Georgia" w:hAnsi="Georgia" w:cs="Georgia"/>
          <w:b/>
          <w:color w:val="B8860B"/>
          <w:sz w:val="32"/>
        </w:rPr>
        <w:t>Appendix: Creatures of Session Two</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