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36878C" w14:textId="77777777" w:rsidR="00B826AA" w:rsidRPr="00862105" w:rsidRDefault="00BB0F5B" w:rsidP="009A71F5">
      <w:pPr>
        <w:ind w:firstLine="41"/>
        <w:jc w:val="center"/>
        <w:rPr>
          <w:rFonts w:cs="Arial"/>
          <w:color w:val="auto"/>
        </w:rPr>
      </w:pPr>
      <w:bookmarkStart w:id="0" w:name="_yri9rw1jgpby"/>
      <w:bookmarkEnd w:id="0"/>
      <w:r>
        <w:rPr>
          <w:rFonts w:cs="Arial"/>
          <w:color w:val="auto"/>
        </w:rPr>
        <w:t>TRABAJO DE GRADO</w:t>
      </w:r>
    </w:p>
    <w:p w14:paraId="5CFD3FE2" w14:textId="77777777" w:rsidR="00607526" w:rsidRDefault="00607526" w:rsidP="00607526">
      <w:pPr>
        <w:pStyle w:val="Textoindependiente"/>
        <w:spacing w:before="1"/>
        <w:ind w:left="41" w:right="188"/>
        <w:jc w:val="center"/>
      </w:pPr>
      <w:r>
        <w:t>IMPLEMENTACIÓN</w:t>
      </w:r>
      <w:r>
        <w:rPr>
          <w:spacing w:val="-9"/>
        </w:rPr>
        <w:t xml:space="preserve"> </w:t>
      </w:r>
      <w:r>
        <w:t>DE</w:t>
      </w:r>
      <w:r>
        <w:rPr>
          <w:spacing w:val="-9"/>
        </w:rPr>
        <w:t xml:space="preserve"> </w:t>
      </w:r>
      <w:r>
        <w:t>UN</w:t>
      </w:r>
      <w:r>
        <w:rPr>
          <w:spacing w:val="-10"/>
        </w:rPr>
        <w:t xml:space="preserve"> </w:t>
      </w:r>
      <w:r>
        <w:t>SISTEMA</w:t>
      </w:r>
      <w:r>
        <w:rPr>
          <w:spacing w:val="-9"/>
        </w:rPr>
        <w:t xml:space="preserve"> </w:t>
      </w:r>
      <w:r>
        <w:t>INTELIGENTE</w:t>
      </w:r>
      <w:r>
        <w:rPr>
          <w:spacing w:val="-10"/>
        </w:rPr>
        <w:t xml:space="preserve"> </w:t>
      </w:r>
      <w:r>
        <w:t>BASADO</w:t>
      </w:r>
      <w:r>
        <w:rPr>
          <w:spacing w:val="-11"/>
        </w:rPr>
        <w:t xml:space="preserve"> </w:t>
      </w:r>
      <w:r>
        <w:t xml:space="preserve">EN TÉCNICAS DE MACHINE LEARNING PARA LA DETECCIÓN DE MALWARE</w:t>
      </w:r>
    </w:p>
    <w:p w14:paraId="7A88A0EE" w14:textId="77777777" w:rsidR="00607526" w:rsidRDefault="00607526" w:rsidP="00607526">
      <w:pPr>
        <w:pStyle w:val="Textoindependiente"/>
      </w:pPr>
    </w:p>
    <w:p w14:paraId="1CF25AEB" w14:textId="38636CD1" w:rsidR="00B826AA" w:rsidRPr="00607526" w:rsidRDefault="00B826AA" w:rsidP="00862105">
      <w:pPr>
        <w:jc w:val="center"/>
        <w:rPr>
          <w:rFonts w:cs="Arial"/>
          <w:color w:val="auto"/>
          <w:lang w:val="es-ES"/>
        </w:rPr>
      </w:pPr>
    </w:p>
    <w:p w14:paraId="5952600C" w14:textId="483B8932" w:rsidR="00C30131" w:rsidRPr="00862105" w:rsidRDefault="00C30131" w:rsidP="00862105">
      <w:pPr>
        <w:jc w:val="center"/>
        <w:rPr>
          <w:rFonts w:cs="Arial"/>
          <w:color w:val="auto"/>
        </w:rPr>
      </w:pPr>
    </w:p>
    <w:p w14:paraId="2F0B1F07" w14:textId="58B21D8B" w:rsidR="00C30131" w:rsidRPr="00862105" w:rsidRDefault="00C30131" w:rsidP="00862105">
      <w:pPr>
        <w:jc w:val="center"/>
        <w:rPr>
          <w:rFonts w:cs="Arial"/>
          <w:color w:val="auto"/>
        </w:rPr>
      </w:pPr>
    </w:p>
    <w:p w14:paraId="44243AB5" w14:textId="3CED0A18" w:rsidR="00C30131" w:rsidRPr="00862105" w:rsidRDefault="00C30131" w:rsidP="00862105">
      <w:pPr>
        <w:jc w:val="center"/>
        <w:rPr>
          <w:rFonts w:cs="Arial"/>
          <w:color w:val="auto"/>
        </w:rPr>
      </w:pPr>
    </w:p>
    <w:p w14:paraId="6CA91A7A" w14:textId="3F75F066" w:rsidR="00C30131" w:rsidRDefault="00C30131" w:rsidP="00862105">
      <w:pPr>
        <w:jc w:val="center"/>
        <w:rPr>
          <w:rFonts w:cs="Arial"/>
          <w:color w:val="auto"/>
        </w:rPr>
      </w:pPr>
    </w:p>
    <w:p w14:paraId="2A9457B1" w14:textId="77777777" w:rsidR="00D0394C" w:rsidRPr="00862105" w:rsidRDefault="00D0394C" w:rsidP="00862105">
      <w:pPr>
        <w:jc w:val="center"/>
        <w:rPr>
          <w:rFonts w:cs="Arial"/>
          <w:color w:val="auto"/>
        </w:rPr>
      </w:pPr>
    </w:p>
    <w:p w14:paraId="242EF197" w14:textId="37F6FA48" w:rsidR="00C30131" w:rsidRPr="00862105" w:rsidRDefault="00C30131" w:rsidP="00862105">
      <w:pPr>
        <w:jc w:val="center"/>
        <w:rPr>
          <w:rFonts w:cs="Arial"/>
          <w:color w:val="auto"/>
        </w:rPr>
      </w:pPr>
    </w:p>
    <w:p w14:paraId="18EC807D" w14:textId="4409F734" w:rsidR="00C30131" w:rsidRPr="00862105" w:rsidRDefault="00C30131" w:rsidP="00862105">
      <w:pPr>
        <w:jc w:val="center"/>
        <w:rPr>
          <w:rFonts w:cs="Arial"/>
          <w:color w:val="auto"/>
        </w:rPr>
      </w:pPr>
    </w:p>
    <w:p w14:paraId="4D5D5DC8" w14:textId="11E39DF9" w:rsidR="00C30131" w:rsidRPr="00862105" w:rsidRDefault="00C30131" w:rsidP="00862105">
      <w:pPr>
        <w:jc w:val="center"/>
        <w:rPr>
          <w:rFonts w:cs="Arial"/>
          <w:color w:val="auto"/>
        </w:rPr>
      </w:pPr>
    </w:p>
    <w:p w14:paraId="6430048A" w14:textId="212B0CFC" w:rsidR="00C30131" w:rsidRPr="00862105" w:rsidRDefault="00C30131" w:rsidP="00862105">
      <w:pPr>
        <w:jc w:val="center"/>
        <w:rPr>
          <w:rFonts w:cs="Arial"/>
          <w:color w:val="auto"/>
        </w:rPr>
      </w:pPr>
    </w:p>
    <w:p w14:paraId="1896991A" w14:textId="77777777" w:rsidR="00B826AA" w:rsidRPr="00862105" w:rsidRDefault="00B826AA" w:rsidP="00862105">
      <w:pPr>
        <w:jc w:val="center"/>
        <w:rPr>
          <w:rFonts w:cs="Arial"/>
          <w:color w:val="auto"/>
        </w:rPr>
      </w:pPr>
    </w:p>
    <w:p w14:paraId="647C48F8" w14:textId="0C9CCF97" w:rsidR="00B826AA" w:rsidRDefault="00B826AA" w:rsidP="00862105">
      <w:pPr>
        <w:jc w:val="left"/>
        <w:rPr>
          <w:rFonts w:cs="Arial"/>
          <w:color w:val="auto"/>
        </w:rPr>
      </w:pPr>
    </w:p>
    <w:p w14:paraId="76D47EDC" w14:textId="4CB5D6F3" w:rsidR="00285585" w:rsidRDefault="00285585" w:rsidP="00862105">
      <w:pPr>
        <w:jc w:val="left"/>
        <w:rPr>
          <w:rFonts w:cs="Arial"/>
          <w:color w:val="auto"/>
        </w:rPr>
      </w:pPr>
    </w:p>
    <w:p w14:paraId="7703FFDE" w14:textId="79AA1B67" w:rsidR="00285585" w:rsidRDefault="00285585" w:rsidP="00862105">
      <w:pPr>
        <w:jc w:val="left"/>
        <w:rPr>
          <w:rFonts w:cs="Arial"/>
          <w:color w:val="auto"/>
        </w:rPr>
      </w:pPr>
    </w:p>
    <w:p w14:paraId="0DEA4032" w14:textId="5B0F281A" w:rsidR="00285585" w:rsidRDefault="00285585" w:rsidP="00862105">
      <w:pPr>
        <w:jc w:val="left"/>
        <w:rPr>
          <w:rFonts w:cs="Arial"/>
          <w:color w:val="auto"/>
        </w:rPr>
      </w:pPr>
    </w:p>
    <w:p w14:paraId="6F82525F" w14:textId="77777777" w:rsidR="00285585" w:rsidRPr="00862105" w:rsidRDefault="00285585" w:rsidP="00862105">
      <w:pPr>
        <w:jc w:val="left"/>
        <w:rPr>
          <w:rFonts w:cs="Arial"/>
          <w:color w:val="auto"/>
        </w:rPr>
      </w:pPr>
    </w:p>
    <w:p w14:paraId="792113C1" w14:textId="4C2AEA6B" w:rsidR="00607526" w:rsidRDefault="00607526" w:rsidP="00607526">
      <w:pPr>
        <w:pStyle w:val="Textoindependiente"/>
        <w:ind w:left="2471" w:right="2612"/>
        <w:jc w:val="center"/>
      </w:pPr>
      <w:r>
        <w:t>JHON DAVID GONZALEZ GARCIA   67001173 – jdgonzalez73</w:t>
      </w:r>
      <w:r>
        <w:rPr>
          <w:lang w:val="es-CO"/>
        </w:rPr>
        <w:t>@</w:t>
      </w:r>
      <w:r>
        <w:t xml:space="preserve">ucatolica.edu.co </w:t>
      </w:r>
    </w:p>
    <w:p w14:paraId="099D7869" w14:textId="77777777" w:rsidR="00607526" w:rsidRDefault="00607526" w:rsidP="00607526">
      <w:pPr>
        <w:pStyle w:val="Textoindependiente"/>
        <w:ind w:left="2471" w:right="2612"/>
        <w:jc w:val="center"/>
      </w:pPr>
    </w:p>
    <w:p w14:paraId="091F0C0D" w14:textId="4321FAC0" w:rsidR="00607526" w:rsidRDefault="00607526" w:rsidP="00607526">
      <w:pPr>
        <w:pStyle w:val="Textoindependiente"/>
        <w:ind w:left="2471" w:right="2612"/>
        <w:jc w:val="center"/>
      </w:pPr>
      <w:r>
        <w:t>JHON</w:t>
      </w:r>
      <w:r>
        <w:rPr>
          <w:spacing w:val="-19"/>
        </w:rPr>
        <w:t xml:space="preserve"> </w:t>
      </w:r>
      <w:r>
        <w:t>ALEXANDER</w:t>
      </w:r>
      <w:r>
        <w:rPr>
          <w:spacing w:val="-17"/>
        </w:rPr>
        <w:t xml:space="preserve"> </w:t>
      </w:r>
      <w:r>
        <w:t>PARRA</w:t>
      </w:r>
      <w:r>
        <w:rPr>
          <w:spacing w:val="-16"/>
        </w:rPr>
        <w:t xml:space="preserve"> </w:t>
      </w:r>
      <w:r>
        <w:t xml:space="preserve">OLARTE </w:t>
      </w:r>
    </w:p>
    <w:p w14:paraId="28BAA857" w14:textId="256FDB0C" w:rsidR="00C30131" w:rsidRPr="00607526" w:rsidRDefault="00607526" w:rsidP="00862105">
      <w:pPr>
        <w:jc w:val="center"/>
        <w:rPr>
          <w:rFonts w:cs="Arial"/>
          <w:lang w:val="es-ES"/>
        </w:rPr>
      </w:pPr>
      <w:r>
        <w:rPr>
          <w:rFonts w:cs="Arial"/>
          <w:lang w:val="es-ES"/>
        </w:rPr>
        <w:t>67001168 – japarra68</w:t>
      </w:r>
      <w:r>
        <w:rPr>
          <w:rFonts w:cs="Arial"/>
        </w:rPr>
        <w:t>@</w:t>
      </w:r>
      <w:r>
        <w:rPr>
          <w:rFonts w:cs="Arial"/>
          <w:lang w:val="es-ES"/>
        </w:rPr>
        <w:t xml:space="preserve">ucatolica.edu.co </w:t>
      </w:r>
    </w:p>
    <w:p w14:paraId="6A8874B3" w14:textId="0FF1D5BD" w:rsidR="00C30131" w:rsidRPr="00862105" w:rsidRDefault="00C30131" w:rsidP="00862105">
      <w:pPr>
        <w:jc w:val="center"/>
        <w:rPr>
          <w:rFonts w:cs="Arial"/>
        </w:rPr>
      </w:pPr>
    </w:p>
    <w:p w14:paraId="4BA17DEA" w14:textId="0D685413" w:rsidR="00C30131" w:rsidRPr="00862105" w:rsidRDefault="00C30131" w:rsidP="00862105">
      <w:pPr>
        <w:jc w:val="center"/>
        <w:rPr>
          <w:rFonts w:cs="Arial"/>
        </w:rPr>
      </w:pPr>
    </w:p>
    <w:p w14:paraId="766E1D1D" w14:textId="795FD4EC" w:rsidR="00C30131" w:rsidRPr="00862105" w:rsidRDefault="00C30131" w:rsidP="00862105">
      <w:pPr>
        <w:jc w:val="center"/>
        <w:rPr>
          <w:rFonts w:cs="Arial"/>
        </w:rPr>
      </w:pPr>
    </w:p>
    <w:p w14:paraId="6C785772" w14:textId="77777777" w:rsidR="00C30131" w:rsidRPr="00862105" w:rsidRDefault="00C30131" w:rsidP="00862105">
      <w:pPr>
        <w:jc w:val="center"/>
        <w:rPr>
          <w:rFonts w:cs="Arial"/>
        </w:rPr>
      </w:pPr>
    </w:p>
    <w:p w14:paraId="67C1E49B" w14:textId="77777777" w:rsidR="00C30131" w:rsidRPr="00862105" w:rsidRDefault="00C30131" w:rsidP="00862105">
      <w:pPr>
        <w:jc w:val="center"/>
        <w:rPr>
          <w:rFonts w:cs="Arial"/>
          <w:smallCaps/>
          <w:color w:val="auto"/>
        </w:rPr>
      </w:pPr>
    </w:p>
    <w:p w14:paraId="71B111CF" w14:textId="77777777" w:rsidR="00C30131" w:rsidRPr="00862105" w:rsidRDefault="00C30131" w:rsidP="00862105">
      <w:pPr>
        <w:jc w:val="center"/>
        <w:rPr>
          <w:rFonts w:cs="Arial"/>
          <w:smallCaps/>
          <w:color w:val="auto"/>
        </w:rPr>
      </w:pPr>
    </w:p>
    <w:p w14:paraId="4B3585C8" w14:textId="77777777" w:rsidR="00C30131" w:rsidRPr="00862105" w:rsidRDefault="00C30131" w:rsidP="00862105">
      <w:pPr>
        <w:jc w:val="center"/>
        <w:rPr>
          <w:rFonts w:cs="Arial"/>
          <w:smallCaps/>
          <w:color w:val="auto"/>
        </w:rPr>
      </w:pPr>
    </w:p>
    <w:p w14:paraId="21977F39" w14:textId="77777777" w:rsidR="00C30131" w:rsidRPr="00862105" w:rsidRDefault="00C30131" w:rsidP="00862105">
      <w:pPr>
        <w:jc w:val="center"/>
        <w:rPr>
          <w:rFonts w:cs="Arial"/>
          <w:smallCaps/>
          <w:color w:val="auto"/>
        </w:rPr>
      </w:pPr>
    </w:p>
    <w:p w14:paraId="14E2C0A9" w14:textId="77777777" w:rsidR="00C30131" w:rsidRPr="00862105" w:rsidRDefault="00C30131" w:rsidP="00862105">
      <w:pPr>
        <w:jc w:val="center"/>
        <w:rPr>
          <w:rFonts w:cs="Arial"/>
          <w:smallCaps/>
          <w:color w:val="auto"/>
        </w:rPr>
      </w:pPr>
    </w:p>
    <w:p w14:paraId="2B85A0DB" w14:textId="77777777" w:rsidR="00C30131" w:rsidRPr="00862105" w:rsidRDefault="00C30131" w:rsidP="00862105">
      <w:pPr>
        <w:jc w:val="center"/>
        <w:rPr>
          <w:rFonts w:cs="Arial"/>
          <w:smallCaps/>
          <w:color w:val="auto"/>
        </w:rPr>
      </w:pPr>
    </w:p>
    <w:p w14:paraId="3BAEB26B" w14:textId="77777777" w:rsidR="00C30131" w:rsidRPr="00862105" w:rsidRDefault="00C30131" w:rsidP="00862105">
      <w:pPr>
        <w:jc w:val="center"/>
        <w:rPr>
          <w:rFonts w:cs="Arial"/>
          <w:smallCaps/>
          <w:color w:val="auto"/>
        </w:rPr>
      </w:pPr>
    </w:p>
    <w:p w14:paraId="62360EBE" w14:textId="77777777" w:rsidR="00C30131" w:rsidRPr="00862105" w:rsidRDefault="00C30131" w:rsidP="00862105">
      <w:pPr>
        <w:jc w:val="center"/>
        <w:rPr>
          <w:rFonts w:cs="Arial"/>
          <w:smallCaps/>
          <w:color w:val="auto"/>
        </w:rPr>
      </w:pPr>
    </w:p>
    <w:p w14:paraId="16BB6311" w14:textId="77777777" w:rsidR="00C30131" w:rsidRPr="00862105" w:rsidRDefault="00C30131" w:rsidP="00862105">
      <w:pPr>
        <w:jc w:val="center"/>
        <w:rPr>
          <w:rFonts w:cs="Arial"/>
          <w:smallCaps/>
          <w:color w:val="auto"/>
        </w:rPr>
      </w:pPr>
    </w:p>
    <w:p w14:paraId="470C71A6" w14:textId="77777777" w:rsidR="00C30131" w:rsidRPr="00862105" w:rsidRDefault="00C30131" w:rsidP="00862105">
      <w:pPr>
        <w:jc w:val="center"/>
        <w:rPr>
          <w:rFonts w:cs="Arial"/>
          <w:smallCaps/>
          <w:color w:val="auto"/>
        </w:rPr>
      </w:pPr>
    </w:p>
    <w:p w14:paraId="50A821B7" w14:textId="2DF264A9" w:rsidR="00B826AA" w:rsidRPr="00862105" w:rsidRDefault="00BB0F5B" w:rsidP="00862105">
      <w:pPr>
        <w:jc w:val="center"/>
        <w:rPr>
          <w:rFonts w:cs="Arial"/>
          <w:color w:val="auto"/>
        </w:rPr>
      </w:pPr>
      <w:r>
        <w:rPr>
          <w:rFonts w:cs="Arial"/>
          <w:smallCaps/>
          <w:color w:val="auto"/>
        </w:rPr>
        <w:t>UNIVERSIDAD CATÓLICA DE COLOMBIA</w:t>
      </w:r>
    </w:p>
    <w:p w14:paraId="5D223C0D" w14:textId="77777777" w:rsidR="00B826AA" w:rsidRPr="00862105" w:rsidRDefault="00BB0F5B" w:rsidP="00862105">
      <w:pPr>
        <w:jc w:val="center"/>
        <w:rPr>
          <w:rFonts w:cs="Arial"/>
          <w:color w:val="auto"/>
        </w:rPr>
      </w:pPr>
      <w:r>
        <w:rPr>
          <w:rFonts w:cs="Arial"/>
          <w:smallCaps/>
          <w:color w:val="auto"/>
        </w:rPr>
        <w:t>FACULTAD DE INGENIERÍA</w:t>
      </w:r>
    </w:p>
    <w:p w14:paraId="308420A7" w14:textId="26ABE421" w:rsidR="00B826AA" w:rsidRPr="00862105" w:rsidRDefault="00BB0F5B" w:rsidP="00862105">
      <w:pPr>
        <w:jc w:val="center"/>
        <w:rPr>
          <w:rFonts w:cs="Arial"/>
          <w:color w:val="000000" w:themeColor="text1"/>
        </w:rPr>
      </w:pPr>
      <w:r>
        <w:rPr>
          <w:rFonts w:cs="Arial"/>
          <w:smallCaps/>
          <w:color w:val="000000" w:themeColor="text1"/>
        </w:rPr>
        <w:t xml:space="preserve">PROGRAMA DE INGENIERÍA DE SISTEMAS Y COMPUTACION</w:t>
      </w:r>
    </w:p>
    <w:p w14:paraId="104170FB" w14:textId="77777777" w:rsidR="00B826AA" w:rsidRPr="00862105" w:rsidRDefault="00BB0F5B" w:rsidP="00862105">
      <w:pPr>
        <w:jc w:val="center"/>
        <w:rPr>
          <w:rFonts w:cs="Arial"/>
          <w:smallCaps/>
          <w:color w:val="auto"/>
        </w:rPr>
      </w:pPr>
      <w:r>
        <w:rPr>
          <w:rFonts w:cs="Arial"/>
          <w:smallCaps/>
          <w:color w:val="auto"/>
        </w:rPr>
        <w:t xml:space="preserve">BOGOTÁ D.C </w:t>
      </w:r>
    </w:p>
    <w:p w14:paraId="4CEED2DD" w14:textId="25184776" w:rsidR="00B826AA" w:rsidRPr="00862105" w:rsidRDefault="00607526" w:rsidP="00862105">
      <w:pPr>
        <w:jc w:val="center"/>
        <w:rPr>
          <w:rFonts w:cs="Arial"/>
          <w:color w:val="auto"/>
        </w:rPr>
      </w:pPr>
      <w:r>
        <w:rPr>
          <w:rFonts w:cs="Arial"/>
          <w:smallCaps/>
          <w:color w:val="auto"/>
        </w:rPr>
        <w:t>2026</w:t>
      </w:r>
      <w:r>
        <w:rPr>
          <w:rFonts w:cs="Arial"/>
          <w:color w:val="auto"/>
        </w:rPr>
        <w:br w:type="page"/>
      </w:r>
    </w:p>
    <w:p w14:paraId="165EE6A8" w14:textId="77777777" w:rsidR="00B826AA" w:rsidRPr="00862105" w:rsidRDefault="00BB0F5B" w:rsidP="00862105">
      <w:pPr>
        <w:jc w:val="center"/>
        <w:rPr>
          <w:rFonts w:cs="Arial"/>
          <w:color w:val="auto"/>
        </w:rPr>
      </w:pPr>
      <w:r>
        <w:rPr>
          <w:rFonts w:cs="Arial"/>
          <w:color w:val="auto"/>
        </w:rPr>
        <w:lastRenderedPageBreak/>
        <w:t>TRABAJO DE GRADO</w:t>
      </w:r>
    </w:p>
    <w:p w14:paraId="364B5607" w14:textId="77777777" w:rsidR="00607526" w:rsidRDefault="00607526" w:rsidP="00607526">
      <w:pPr>
        <w:pStyle w:val="Textoindependiente"/>
        <w:ind w:left="41" w:right="179"/>
        <w:jc w:val="center"/>
      </w:pPr>
      <w:r>
        <w:t>IMPLEMENTACIÓN</w:t>
      </w:r>
      <w:r>
        <w:rPr>
          <w:spacing w:val="-11"/>
        </w:rPr>
        <w:t xml:space="preserve"> </w:t>
      </w:r>
      <w:r>
        <w:t>DE</w:t>
      </w:r>
      <w:r>
        <w:rPr>
          <w:spacing w:val="-14"/>
        </w:rPr>
        <w:t xml:space="preserve"> </w:t>
      </w:r>
      <w:r>
        <w:t>UN</w:t>
      </w:r>
      <w:r>
        <w:rPr>
          <w:spacing w:val="-15"/>
        </w:rPr>
        <w:t xml:space="preserve"> </w:t>
      </w:r>
      <w:r>
        <w:t>SISTEMA</w:t>
      </w:r>
      <w:r>
        <w:rPr>
          <w:spacing w:val="-13"/>
        </w:rPr>
        <w:t xml:space="preserve"> </w:t>
      </w:r>
      <w:r>
        <w:t>INTELIGENTE</w:t>
      </w:r>
      <w:r>
        <w:rPr>
          <w:spacing w:val="-15"/>
        </w:rPr>
        <w:t xml:space="preserve"> </w:t>
      </w:r>
      <w:r>
        <w:t>BASADO</w:t>
      </w:r>
      <w:r>
        <w:rPr>
          <w:spacing w:val="-14"/>
        </w:rPr>
        <w:t xml:space="preserve"> </w:t>
      </w:r>
      <w:r>
        <w:t>EN TÉCNICAS</w:t>
      </w:r>
      <w:r>
        <w:rPr>
          <w:spacing w:val="-4"/>
        </w:rPr>
        <w:t xml:space="preserve"> </w:t>
      </w:r>
      <w:r>
        <w:t>DE</w:t>
      </w:r>
      <w:r>
        <w:rPr>
          <w:spacing w:val="-1"/>
        </w:rPr>
        <w:t xml:space="preserve"> </w:t>
      </w:r>
      <w:r>
        <w:t>MACHINE</w:t>
      </w:r>
      <w:r>
        <w:rPr>
          <w:spacing w:val="-2"/>
        </w:rPr>
        <w:t xml:space="preserve"> </w:t>
      </w:r>
      <w:r>
        <w:t>LEARNING</w:t>
      </w:r>
      <w:r>
        <w:rPr>
          <w:spacing w:val="-3"/>
        </w:rPr>
        <w:t xml:space="preserve"> </w:t>
      </w:r>
      <w:r>
        <w:t>PARA</w:t>
      </w:r>
      <w:r>
        <w:rPr>
          <w:spacing w:val="-3"/>
        </w:rPr>
        <w:t xml:space="preserve"> </w:t>
      </w:r>
      <w:r>
        <w:t>LA</w:t>
      </w:r>
      <w:r>
        <w:rPr>
          <w:spacing w:val="-2"/>
        </w:rPr>
        <w:t xml:space="preserve"> </w:t>
      </w:r>
      <w:r>
        <w:t>DETECCIÓN</w:t>
      </w:r>
      <w:r>
        <w:rPr>
          <w:spacing w:val="-1"/>
        </w:rPr>
        <w:t xml:space="preserve"> </w:t>
      </w:r>
      <w:r>
        <w:t>DE</w:t>
      </w:r>
      <w:r>
        <w:rPr>
          <w:spacing w:val="-1"/>
        </w:rPr>
        <w:t xml:space="preserve"> </w:t>
      </w:r>
      <w:r>
        <w:rPr>
          <w:spacing w:val="-2"/>
        </w:rPr>
        <w:t>MALWARE</w:t>
      </w:r>
    </w:p>
    <w:p w14:paraId="3CC1D381" w14:textId="77777777" w:rsidR="33E009FB" w:rsidRPr="00607526" w:rsidRDefault="33E009FB" w:rsidP="00862105">
      <w:pPr>
        <w:jc w:val="center"/>
        <w:rPr>
          <w:rFonts w:cs="Arial"/>
          <w:color w:val="auto"/>
          <w:lang w:val="es-ES"/>
        </w:rPr>
      </w:pPr>
    </w:p>
    <w:p w14:paraId="7A226ED6" w14:textId="2CA9F1F2" w:rsidR="33E009FB" w:rsidRPr="00862105" w:rsidRDefault="33E009FB" w:rsidP="00862105">
      <w:pPr>
        <w:jc w:val="center"/>
        <w:rPr>
          <w:rFonts w:cs="Arial"/>
          <w:color w:val="auto"/>
        </w:rPr>
      </w:pPr>
    </w:p>
    <w:p w14:paraId="3BAD6CC8" w14:textId="13B4D7F5" w:rsidR="006661FC" w:rsidRPr="00862105" w:rsidRDefault="006661FC" w:rsidP="00862105">
      <w:pPr>
        <w:jc w:val="center"/>
        <w:rPr>
          <w:rFonts w:cs="Arial"/>
          <w:color w:val="auto"/>
        </w:rPr>
      </w:pPr>
    </w:p>
    <w:p w14:paraId="1BCD8914" w14:textId="58FE8481" w:rsidR="006661FC" w:rsidRDefault="006661FC" w:rsidP="00862105">
      <w:pPr>
        <w:jc w:val="center"/>
        <w:rPr>
          <w:rFonts w:cs="Arial"/>
          <w:color w:val="auto"/>
        </w:rPr>
      </w:pPr>
    </w:p>
    <w:p w14:paraId="372E1D88" w14:textId="77777777" w:rsidR="00B23F45" w:rsidRPr="00862105" w:rsidRDefault="00B23F45" w:rsidP="00862105">
      <w:pPr>
        <w:jc w:val="center"/>
        <w:rPr>
          <w:rFonts w:cs="Arial"/>
          <w:color w:val="auto"/>
        </w:rPr>
      </w:pPr>
    </w:p>
    <w:p w14:paraId="25E2A861" w14:textId="77777777" w:rsidR="33E009FB" w:rsidRPr="00862105" w:rsidRDefault="33E009FB" w:rsidP="00862105">
      <w:pPr>
        <w:jc w:val="left"/>
        <w:rPr>
          <w:rFonts w:cs="Arial"/>
          <w:color w:val="auto"/>
        </w:rPr>
      </w:pPr>
    </w:p>
    <w:p w14:paraId="6C625F83" w14:textId="0A6A5933" w:rsidR="33E009FB" w:rsidRPr="00862105" w:rsidRDefault="33E009FB" w:rsidP="00862105">
      <w:pPr>
        <w:jc w:val="center"/>
        <w:rPr>
          <w:rFonts w:cs="Arial"/>
        </w:rPr>
      </w:pPr>
    </w:p>
    <w:p w14:paraId="1C931C6A" w14:textId="77777777" w:rsidR="00607526" w:rsidRDefault="00607526" w:rsidP="00607526">
      <w:pPr>
        <w:pStyle w:val="Textoindependiente"/>
        <w:ind w:left="2471" w:right="2612"/>
        <w:jc w:val="center"/>
      </w:pPr>
      <w:r>
        <w:t>JHON DAVID GONZALEZ GARCIA   67001173 – jdgonzalez73</w:t>
      </w:r>
      <w:r>
        <w:rPr>
          <w:lang w:val="es-CO"/>
        </w:rPr>
        <w:t>@</w:t>
      </w:r>
      <w:r>
        <w:t xml:space="preserve">ucatolica.edu.co </w:t>
      </w:r>
    </w:p>
    <w:p w14:paraId="52B5D4CA" w14:textId="77777777" w:rsidR="00607526" w:rsidRDefault="00607526" w:rsidP="00607526">
      <w:pPr>
        <w:pStyle w:val="Textoindependiente"/>
        <w:ind w:left="2471" w:right="2612"/>
        <w:jc w:val="center"/>
      </w:pPr>
    </w:p>
    <w:p w14:paraId="24B131C3" w14:textId="77777777" w:rsidR="00607526" w:rsidRDefault="00607526" w:rsidP="00607526">
      <w:pPr>
        <w:pStyle w:val="Textoindependiente"/>
        <w:ind w:left="2471" w:right="2612"/>
        <w:jc w:val="center"/>
      </w:pPr>
      <w:r>
        <w:t>JHON</w:t>
      </w:r>
      <w:r>
        <w:rPr>
          <w:spacing w:val="-19"/>
        </w:rPr>
        <w:t xml:space="preserve"> </w:t>
      </w:r>
      <w:r>
        <w:t>ALEXANDER</w:t>
      </w:r>
      <w:r>
        <w:rPr>
          <w:spacing w:val="-17"/>
        </w:rPr>
        <w:t xml:space="preserve"> </w:t>
      </w:r>
      <w:r>
        <w:t>PARRA</w:t>
      </w:r>
      <w:r>
        <w:rPr>
          <w:spacing w:val="-16"/>
        </w:rPr>
        <w:t xml:space="preserve"> </w:t>
      </w:r>
      <w:r>
        <w:t xml:space="preserve">OLARTE </w:t>
      </w:r>
    </w:p>
    <w:p w14:paraId="3CCEBA4A" w14:textId="77777777" w:rsidR="00607526" w:rsidRPr="00607526" w:rsidRDefault="00607526" w:rsidP="00607526">
      <w:pPr>
        <w:jc w:val="center"/>
        <w:rPr>
          <w:rFonts w:cs="Arial"/>
          <w:lang w:val="es-ES"/>
        </w:rPr>
      </w:pPr>
      <w:r>
        <w:rPr>
          <w:rFonts w:cs="Arial"/>
          <w:lang w:val="es-ES"/>
        </w:rPr>
        <w:t>67001168 – japarra68</w:t>
      </w:r>
      <w:r>
        <w:rPr>
          <w:rFonts w:cs="Arial"/>
        </w:rPr>
        <w:t>@</w:t>
      </w:r>
      <w:r>
        <w:rPr>
          <w:rFonts w:cs="Arial"/>
          <w:lang w:val="es-ES"/>
        </w:rPr>
        <w:t xml:space="preserve">ucatolica.edu.co </w:t>
      </w:r>
    </w:p>
    <w:p w14:paraId="7A4ABDBC" w14:textId="66107E7F" w:rsidR="00B826AA" w:rsidRPr="00607526" w:rsidRDefault="00B826AA" w:rsidP="00862105">
      <w:pPr>
        <w:jc w:val="center"/>
        <w:rPr>
          <w:rFonts w:cs="Arial"/>
          <w:color w:val="auto"/>
          <w:lang w:val="es-ES"/>
        </w:rPr>
      </w:pPr>
    </w:p>
    <w:p w14:paraId="21D1B7F0" w14:textId="058A37F3" w:rsidR="006661FC" w:rsidRPr="00862105" w:rsidRDefault="006661FC" w:rsidP="00862105">
      <w:pPr>
        <w:jc w:val="center"/>
        <w:rPr>
          <w:rFonts w:cs="Arial"/>
          <w:color w:val="auto"/>
        </w:rPr>
      </w:pPr>
    </w:p>
    <w:p w14:paraId="4E3C8CAF" w14:textId="03EDF111" w:rsidR="006661FC" w:rsidRPr="00862105" w:rsidRDefault="006661FC" w:rsidP="00862105">
      <w:pPr>
        <w:jc w:val="center"/>
        <w:rPr>
          <w:rFonts w:cs="Arial"/>
          <w:color w:val="auto"/>
        </w:rPr>
      </w:pPr>
    </w:p>
    <w:p w14:paraId="5A45C455" w14:textId="0A527412" w:rsidR="006661FC" w:rsidRPr="00862105" w:rsidRDefault="006661FC" w:rsidP="00862105">
      <w:pPr>
        <w:jc w:val="center"/>
        <w:rPr>
          <w:rFonts w:cs="Arial"/>
          <w:color w:val="auto"/>
        </w:rPr>
      </w:pPr>
    </w:p>
    <w:p w14:paraId="183B7BEE" w14:textId="46FCDA33" w:rsidR="006661FC" w:rsidRPr="00862105" w:rsidRDefault="006661FC" w:rsidP="00862105">
      <w:pPr>
        <w:jc w:val="center"/>
        <w:rPr>
          <w:rFonts w:cs="Arial"/>
          <w:color w:val="auto"/>
        </w:rPr>
      </w:pPr>
    </w:p>
    <w:p w14:paraId="49E57783" w14:textId="45705675" w:rsidR="006661FC" w:rsidRPr="00862105" w:rsidRDefault="006661FC" w:rsidP="00862105">
      <w:pPr>
        <w:jc w:val="center"/>
        <w:rPr>
          <w:rFonts w:cs="Arial"/>
          <w:color w:val="auto"/>
        </w:rPr>
      </w:pPr>
    </w:p>
    <w:p w14:paraId="01B19868" w14:textId="77777777" w:rsidR="006661FC" w:rsidRPr="00862105" w:rsidRDefault="006661FC" w:rsidP="00862105">
      <w:pPr>
        <w:jc w:val="center"/>
        <w:rPr>
          <w:rFonts w:cs="Arial"/>
          <w:color w:val="auto"/>
        </w:rPr>
      </w:pPr>
    </w:p>
    <w:p w14:paraId="70B8EA64" w14:textId="7BDE9875" w:rsidR="00B826AA" w:rsidRPr="00862105" w:rsidRDefault="00B826AA" w:rsidP="00862105">
      <w:pPr>
        <w:jc w:val="center"/>
        <w:rPr>
          <w:rFonts w:eastAsia="Arial" w:cs="Arial"/>
        </w:rPr>
      </w:pPr>
    </w:p>
    <w:p w14:paraId="222B34E8" w14:textId="2CEFB4EC" w:rsidR="00B826AA" w:rsidRPr="00862105" w:rsidRDefault="00B826AA" w:rsidP="00862105">
      <w:pPr>
        <w:jc w:val="center"/>
        <w:rPr>
          <w:rFonts w:cs="Arial"/>
          <w:color w:val="auto"/>
        </w:rPr>
      </w:pPr>
    </w:p>
    <w:p w14:paraId="02FC8FF7" w14:textId="126B100E" w:rsidR="006661FC" w:rsidRPr="00862105" w:rsidRDefault="006661FC" w:rsidP="00862105">
      <w:pPr>
        <w:jc w:val="center"/>
        <w:rPr>
          <w:rFonts w:cs="Arial"/>
          <w:color w:val="auto"/>
        </w:rPr>
      </w:pPr>
    </w:p>
    <w:p w14:paraId="67EAADF2" w14:textId="311FFE52" w:rsidR="006661FC" w:rsidRPr="00862105" w:rsidRDefault="006661FC" w:rsidP="00862105">
      <w:pPr>
        <w:jc w:val="center"/>
        <w:rPr>
          <w:rFonts w:cs="Arial"/>
          <w:color w:val="auto"/>
        </w:rPr>
      </w:pPr>
    </w:p>
    <w:p w14:paraId="336C6EB9" w14:textId="61DF8AB2" w:rsidR="006661FC" w:rsidRPr="00862105" w:rsidRDefault="006661FC" w:rsidP="00862105">
      <w:pPr>
        <w:jc w:val="center"/>
        <w:rPr>
          <w:rFonts w:cs="Arial"/>
          <w:color w:val="auto"/>
        </w:rPr>
      </w:pPr>
    </w:p>
    <w:p w14:paraId="5A1E474C" w14:textId="77777777" w:rsidR="00B826AA" w:rsidRPr="004A7E67" w:rsidRDefault="00BB0F5B" w:rsidP="00862105">
      <w:pPr>
        <w:jc w:val="center"/>
        <w:rPr>
          <w:rFonts w:cs="Arial"/>
          <w:color w:val="auto"/>
          <w:lang w:val="en-US"/>
        </w:rPr>
      </w:pPr>
      <w:r>
        <w:rPr>
          <w:rFonts w:cs="Arial"/>
          <w:color w:val="auto"/>
          <w:lang w:val="en-US"/>
        </w:rPr>
        <w:t>Docente</w:t>
      </w:r>
    </w:p>
    <w:p w14:paraId="7245E65E" w14:textId="75ADCAD4" w:rsidR="00607526" w:rsidRPr="00607526" w:rsidRDefault="00607526" w:rsidP="00607526">
      <w:pPr>
        <w:jc w:val="center"/>
        <w:rPr>
          <w:rFonts w:cs="Arial"/>
          <w:color w:val="auto"/>
          <w:lang w:val="en-US"/>
        </w:rPr>
      </w:pPr>
      <w:r>
        <w:rPr>
          <w:rFonts w:cs="Arial"/>
          <w:color w:val="auto"/>
          <w:lang w:val="en-US"/>
        </w:rPr>
        <w:t>STEFANY TATIANA OSPINA</w:t>
      </w:r>
    </w:p>
    <w:p w14:paraId="5433A006" w14:textId="4D002489" w:rsidR="00B826AA" w:rsidRPr="00607526" w:rsidRDefault="00607526" w:rsidP="00862105">
      <w:pPr>
        <w:jc w:val="center"/>
        <w:rPr>
          <w:rFonts w:cs="Arial"/>
          <w:color w:val="auto"/>
          <w:lang w:val="en-US"/>
        </w:rPr>
      </w:pPr>
      <w:r>
        <w:rPr>
          <w:rFonts w:cs="Arial"/>
          <w:color w:val="auto"/>
          <w:lang w:val="en-US"/>
        </w:rPr>
        <w:t>stospina@ucatolica.edu.co</w:t>
      </w:r>
    </w:p>
    <w:p w14:paraId="795F806E" w14:textId="44EA9C92" w:rsidR="006661FC" w:rsidRPr="00607526" w:rsidRDefault="006661FC" w:rsidP="00862105">
      <w:pPr>
        <w:jc w:val="center"/>
        <w:rPr>
          <w:rFonts w:cs="Arial"/>
          <w:color w:val="auto"/>
          <w:lang w:val="en-US"/>
        </w:rPr>
      </w:pPr>
    </w:p>
    <w:p w14:paraId="778556FD" w14:textId="516732D4" w:rsidR="006661FC" w:rsidRDefault="006661FC" w:rsidP="00862105">
      <w:pPr>
        <w:jc w:val="center"/>
        <w:rPr>
          <w:rFonts w:cs="Arial"/>
          <w:color w:val="auto"/>
          <w:lang w:val="en-US"/>
        </w:rPr>
      </w:pPr>
    </w:p>
    <w:p w14:paraId="56EBE8E9" w14:textId="77777777" w:rsidR="00607526" w:rsidRPr="00607526" w:rsidRDefault="00607526" w:rsidP="00862105">
      <w:pPr>
        <w:jc w:val="center"/>
        <w:rPr>
          <w:rFonts w:cs="Arial"/>
          <w:color w:val="auto"/>
          <w:lang w:val="en-US"/>
        </w:rPr>
      </w:pPr>
    </w:p>
    <w:p w14:paraId="7F15BFDC" w14:textId="2BC00275" w:rsidR="006661FC" w:rsidRPr="00607526" w:rsidRDefault="006661FC" w:rsidP="00862105">
      <w:pPr>
        <w:jc w:val="center"/>
        <w:rPr>
          <w:rFonts w:cs="Arial"/>
          <w:color w:val="auto"/>
          <w:lang w:val="en-US"/>
        </w:rPr>
      </w:pPr>
    </w:p>
    <w:p w14:paraId="002AFE3A" w14:textId="77777777" w:rsidR="006661FC" w:rsidRPr="00607526" w:rsidRDefault="006661FC" w:rsidP="00862105">
      <w:pPr>
        <w:jc w:val="center"/>
        <w:rPr>
          <w:rFonts w:cs="Arial"/>
          <w:color w:val="auto"/>
          <w:lang w:val="en-US"/>
        </w:rPr>
      </w:pPr>
    </w:p>
    <w:p w14:paraId="6B7D51DE" w14:textId="77777777" w:rsidR="00B826AA" w:rsidRPr="00607526" w:rsidRDefault="00B826AA" w:rsidP="00862105">
      <w:pPr>
        <w:jc w:val="center"/>
        <w:rPr>
          <w:rFonts w:cs="Arial"/>
          <w:color w:val="auto"/>
          <w:lang w:val="en-US"/>
        </w:rPr>
      </w:pPr>
    </w:p>
    <w:p w14:paraId="6DA54846" w14:textId="77777777" w:rsidR="00B826AA" w:rsidRPr="00862105" w:rsidRDefault="00BB0F5B" w:rsidP="00862105">
      <w:pPr>
        <w:jc w:val="center"/>
        <w:rPr>
          <w:rFonts w:cs="Arial"/>
          <w:color w:val="auto"/>
        </w:rPr>
      </w:pPr>
      <w:r>
        <w:rPr>
          <w:rFonts w:cs="Arial"/>
          <w:smallCaps/>
          <w:color w:val="auto"/>
        </w:rPr>
        <w:t>UNIVERSIDAD CATÓLICA DE COLOMBIA</w:t>
      </w:r>
    </w:p>
    <w:p w14:paraId="78D299F1" w14:textId="77777777" w:rsidR="00B826AA" w:rsidRPr="00862105" w:rsidRDefault="00BB0F5B" w:rsidP="00862105">
      <w:pPr>
        <w:jc w:val="center"/>
        <w:rPr>
          <w:rFonts w:cs="Arial"/>
          <w:color w:val="auto"/>
        </w:rPr>
      </w:pPr>
      <w:r>
        <w:rPr>
          <w:rFonts w:cs="Arial"/>
          <w:smallCaps/>
          <w:color w:val="auto"/>
        </w:rPr>
        <w:t>FACULTAD DE INGENIERÍA</w:t>
      </w:r>
    </w:p>
    <w:p w14:paraId="495CAD00" w14:textId="324B2AD1" w:rsidR="00B826AA" w:rsidRPr="00862105" w:rsidRDefault="00BB0F5B" w:rsidP="00862105">
      <w:pPr>
        <w:jc w:val="center"/>
        <w:rPr>
          <w:rFonts w:cs="Arial"/>
          <w:smallCaps/>
          <w:color w:val="auto"/>
        </w:rPr>
      </w:pPr>
      <w:r>
        <w:rPr>
          <w:rFonts w:cs="Arial"/>
          <w:smallCaps/>
          <w:color w:val="000000" w:themeColor="text1"/>
        </w:rPr>
        <w:t xml:space="preserve">PROGRAMA DE INGENIERÍA DE SISTEMAS Y COMPUTACION</w:t>
      </w:r>
    </w:p>
    <w:p w14:paraId="1615F3E4" w14:textId="77777777" w:rsidR="00607526" w:rsidRDefault="00BB0F5B" w:rsidP="00607526">
      <w:pPr>
        <w:jc w:val="center"/>
        <w:rPr>
          <w:rFonts w:cs="Arial"/>
          <w:smallCaps/>
          <w:color w:val="auto"/>
        </w:rPr>
      </w:pPr>
      <w:r>
        <w:rPr>
          <w:rFonts w:cs="Arial"/>
          <w:smallCaps/>
          <w:color w:val="auto"/>
        </w:rPr>
        <w:t xml:space="preserve">BOGOTÁ D.C </w:t>
      </w:r>
    </w:p>
    <w:p w14:paraId="2E5D4394" w14:textId="00D8BEA2" w:rsidR="00607526" w:rsidRPr="00607526" w:rsidRDefault="00607526" w:rsidP="00607526">
      <w:pPr>
        <w:jc w:val="center"/>
        <w:rPr>
          <w:rFonts w:cs="Arial"/>
          <w:smallCaps/>
          <w:color w:val="auto"/>
        </w:rPr>
        <w:sectPr w:rsidR="00607526" w:rsidRPr="00607526" w:rsidSect="00751FB2">
          <w:footerReference w:type="default" r:id="rId8"/>
          <w:type w:val="continuous"/>
          <w:pgSz w:w="12242" w:h="15842"/>
          <w:pgMar w:top="1134" w:right="1134" w:bottom="1134" w:left="1134" w:header="0" w:footer="720" w:gutter="0"/>
          <w:cols w:space="720"/>
        </w:sectPr>
      </w:pPr>
      <w:r>
        <w:rPr>
          <w:rFonts w:cs="Arial"/>
          <w:smallCaps/>
          <w:color w:val="auto"/>
        </w:rPr>
        <w:t>2026</w:t>
      </w:r>
    </w:p>
    <w:p w14:paraId="45FF6619" w14:textId="45AA9CEB" w:rsidR="00B826AA" w:rsidRPr="00862105" w:rsidRDefault="43F4AF3E" w:rsidP="00862105">
      <w:pPr>
        <w:tabs>
          <w:tab w:val="left" w:pos="4678"/>
        </w:tabs>
        <w:jc w:val="center"/>
        <w:rPr>
          <w:rFonts w:cs="Arial"/>
        </w:rPr>
      </w:pPr>
      <w:r>
        <w:rPr>
          <w:rFonts w:cs="Arial"/>
        </w:rPr>
        <w:lastRenderedPageBreak/>
        <w:t xml:space="preserve">CONTENIDO </w:t>
      </w:r>
    </w:p>
    <w:p w14:paraId="683BCD7E" w14:textId="6C396E02" w:rsidR="00B826AA" w:rsidRDefault="00B826AA" w:rsidP="00C45958">
      <w:pPr>
        <w:pStyle w:val="TDC1"/>
        <w:rPr>
          <w:noProof/>
        </w:rPr>
      </w:pPr>
    </w:p>
    <w:sdt>
      <w:sdtPr>
        <w:rPr>
          <w:rFonts w:ascii="Arial" w:eastAsia="Times New Roman" w:hAnsi="Arial" w:cs="Times New Roman"/>
          <w:color w:val="000000"/>
          <w:sz w:val="24"/>
          <w:szCs w:val="24"/>
          <w:lang w:val="es-ES"/>
        </w:rPr>
        <w:id w:val="467398721"/>
        <w:docPartObj>
          <w:docPartGallery w:val="Table of Contents"/>
          <w:docPartUnique/>
        </w:docPartObj>
      </w:sdtPr>
      <w:sdtEndPr>
        <w:rPr>
          <w:b/>
          <w:bCs/>
        </w:rPr>
      </w:sdtEndPr>
      <w:sdtContent>
        <w:p w14:paraId="15736F93" w14:textId="50963A4D" w:rsidR="009E5483" w:rsidRDefault="009E5483">
          <w:pPr>
            <w:pStyle w:val="TtuloTDC"/>
          </w:pPr>
        </w:p>
        <w:p w14:paraId="15531C70" w14:textId="10C42B0F" w:rsidR="009E5483" w:rsidRDefault="009E5483">
          <w:pPr>
            <w:pStyle w:val="TDC1"/>
            <w:rPr>
              <w:rFonts w:asciiTheme="minorHAnsi" w:eastAsiaTheme="minorEastAsia" w:hAnsiTheme="minorHAnsi" w:cstheme="minorBidi"/>
              <w:noProof/>
              <w:color w:val="auto"/>
              <w:kern w:val="2"/>
              <w14:ligatures w14:val="standardContextual"/>
            </w:rPr>
          </w:pPr>
          <w:r>
            <w:fldChar w:fldCharType="begin"/>
            <w:instrText xml:space="preserve"> TOC \o "1-3" \h \z \u </w:instrText>
            <w:fldChar w:fldCharType="separate"/>
          </w:r>
          <w:hyperlink w:anchor="_Toc240146202" w:history="1">
            <w:r>
              <w:rPr>
                <w:rStyle w:val="Hipervnculo"/>
                <w:b/>
                <w:bCs/>
                <w:noProof/>
              </w:rPr>
              <w:t>GLOSARIO</w:t>
            </w:r>
            <w:r>
              <w:rPr>
                <w:noProof/>
                <w:webHidden/>
              </w:rPr>
              <w:tab/>
              <w:fldChar w:fldCharType="begin"/>
              <w:instrText xml:space="preserve"> PAGEREF _Toc240146202 \h </w:instrText>
              <w:fldChar w:fldCharType="separate"/>
              <w:t>4</w:t>
              <w:fldChar w:fldCharType="end"/>
            </w:r>
          </w:hyperlink>
        </w:p>
        <w:p w14:paraId="3076B5F4" w14:textId="3D4BA05F" w:rsidR="009E5483" w:rsidRDefault="009E5483">
          <w:pPr>
            <w:pStyle w:val="TDC1"/>
            <w:rPr>
              <w:rFonts w:asciiTheme="minorHAnsi" w:eastAsiaTheme="minorEastAsia" w:hAnsiTheme="minorHAnsi" w:cstheme="minorBidi"/>
              <w:noProof/>
              <w:color w:val="auto"/>
              <w:kern w:val="2"/>
              <w14:ligatures w14:val="standardContextual"/>
            </w:rPr>
          </w:pPr>
          <w:hyperlink w:anchor="_Toc240146203" w:history="1">
            <w:r>
              <w:rPr>
                <w:rStyle w:val="Hipervnculo"/>
                <w:b/>
                <w:bCs/>
                <w:noProof/>
              </w:rPr>
              <w:t>RESUMEN</w:t>
            </w:r>
            <w:r>
              <w:rPr>
                <w:noProof/>
                <w:webHidden/>
              </w:rPr>
              <w:tab/>
              <w:fldChar w:fldCharType="begin"/>
              <w:instrText xml:space="preserve"> PAGEREF _Toc240146203 \h </w:instrText>
              <w:fldChar w:fldCharType="separate"/>
              <w:t>6</w:t>
              <w:fldChar w:fldCharType="end"/>
            </w:r>
          </w:hyperlink>
        </w:p>
        <w:p w14:paraId="552F0D22" w14:textId="4B57932A" w:rsidR="009E5483" w:rsidRDefault="009E5483">
          <w:pPr>
            <w:pStyle w:val="TDC1"/>
            <w:rPr>
              <w:rFonts w:asciiTheme="minorHAnsi" w:eastAsiaTheme="minorEastAsia" w:hAnsiTheme="minorHAnsi" w:cstheme="minorBidi"/>
              <w:noProof/>
              <w:color w:val="auto"/>
              <w:kern w:val="2"/>
              <w14:ligatures w14:val="standardContextual"/>
            </w:rPr>
          </w:pPr>
          <w:hyperlink w:anchor="_Toc240146204" w:history="1">
            <w:r>
              <w:rPr>
                <w:rStyle w:val="Hipervnculo"/>
                <w:b/>
                <w:bCs/>
                <w:noProof/>
              </w:rPr>
              <w:t>INTRODUCCIÓN</w:t>
            </w:r>
            <w:r>
              <w:rPr>
                <w:noProof/>
                <w:webHidden/>
              </w:rPr>
              <w:tab/>
              <w:fldChar w:fldCharType="begin"/>
              <w:instrText xml:space="preserve"> PAGEREF _Toc240146204 \h </w:instrText>
              <w:fldChar w:fldCharType="separate"/>
              <w:t>8</w:t>
              <w:fldChar w:fldCharType="end"/>
            </w:r>
          </w:hyperlink>
        </w:p>
        <w:p w14:paraId="0917B3BC" w14:textId="46089E87" w:rsidR="009E5483" w:rsidRDefault="009E5483">
          <w:pPr>
            <w:pStyle w:val="TDC1"/>
            <w:rPr>
              <w:rFonts w:asciiTheme="minorHAnsi" w:eastAsiaTheme="minorEastAsia" w:hAnsiTheme="minorHAnsi" w:cstheme="minorBidi"/>
              <w:noProof/>
              <w:color w:val="auto"/>
              <w:kern w:val="2"/>
              <w14:ligatures w14:val="standardContextual"/>
            </w:rPr>
          </w:pPr>
          <w:hyperlink w:anchor="_Toc240146205" w:history="1">
            <w:r>
              <w:rPr>
                <w:rStyle w:val="Hipervnculo"/>
                <w:rFonts w:cs="Arial"/>
                <w:b/>
                <w:noProof/>
              </w:rPr>
              <w:t>GENERALIDADES</w:t>
            </w:r>
            <w:r>
              <w:rPr>
                <w:noProof/>
                <w:webHidden/>
              </w:rPr>
              <w:tab/>
              <w:fldChar w:fldCharType="begin"/>
              <w:instrText xml:space="preserve"> PAGEREF _Toc240146205 \h </w:instrText>
              <w:fldChar w:fldCharType="separate"/>
              <w:t>10</w:t>
              <w:fldChar w:fldCharType="end"/>
            </w:r>
          </w:hyperlink>
        </w:p>
        <w:p w14:paraId="6D56F9BA" w14:textId="1B91F665"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06" w:history="1">
            <w:r>
              <w:rPr>
                <w:rStyle w:val="Hipervnculo"/>
                <w:b/>
                <w:bCs/>
                <w:noProof/>
              </w:rPr>
              <w:t>CONTEXTO DEL PROBLEMA</w:t>
            </w:r>
            <w:r>
              <w:rPr>
                <w:noProof/>
                <w:webHidden/>
              </w:rPr>
              <w:tab/>
              <w:fldChar w:fldCharType="begin"/>
              <w:instrText xml:space="preserve"> PAGEREF _Toc240146206 \h </w:instrText>
              <w:fldChar w:fldCharType="separate"/>
              <w:t>10</w:t>
              <w:fldChar w:fldCharType="end"/>
            </w:r>
          </w:hyperlink>
        </w:p>
        <w:p w14:paraId="3CB74AE2" w14:textId="0B3FC3DC"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07" w:history="1">
            <w:r>
              <w:rPr>
                <w:rStyle w:val="Hipervnculo"/>
                <w:rFonts w:cs="Arial"/>
                <w:b/>
                <w:noProof/>
              </w:rPr>
              <w:t>PLANTEAMIENTO DEL PROBLEMA</w:t>
            </w:r>
            <w:r>
              <w:rPr>
                <w:noProof/>
                <w:webHidden/>
              </w:rPr>
              <w:tab/>
              <w:fldChar w:fldCharType="begin"/>
              <w:instrText xml:space="preserve"> PAGEREF _Toc240146207 \h </w:instrText>
              <w:fldChar w:fldCharType="separate"/>
              <w:t>11</w:t>
              <w:fldChar w:fldCharType="end"/>
            </w:r>
          </w:hyperlink>
        </w:p>
        <w:p w14:paraId="5EC092BF" w14:textId="2A4CB000" w:rsidR="009E5483" w:rsidRDefault="009E5483">
          <w:pPr>
            <w:pStyle w:val="TDC1"/>
            <w:rPr>
              <w:rFonts w:asciiTheme="minorHAnsi" w:eastAsiaTheme="minorEastAsia" w:hAnsiTheme="minorHAnsi" w:cstheme="minorBidi"/>
              <w:noProof/>
              <w:color w:val="auto"/>
              <w:kern w:val="2"/>
              <w14:ligatures w14:val="standardContextual"/>
            </w:rPr>
          </w:pPr>
          <w:hyperlink w:anchor="_Toc240146208" w:history="1">
            <w:r>
              <w:rPr>
                <w:rStyle w:val="Hipervnculo"/>
                <w:b/>
                <w:bCs/>
                <w:noProof/>
              </w:rPr>
              <w:t>JUSTIFICACIÓN</w:t>
            </w:r>
            <w:r>
              <w:rPr>
                <w:noProof/>
                <w:webHidden/>
              </w:rPr>
              <w:tab/>
              <w:fldChar w:fldCharType="begin"/>
              <w:instrText xml:space="preserve"> PAGEREF _Toc240146208 \h </w:instrText>
              <w:fldChar w:fldCharType="separate"/>
              <w:t>12</w:t>
              <w:fldChar w:fldCharType="end"/>
            </w:r>
          </w:hyperlink>
        </w:p>
        <w:p w14:paraId="1CCA90A4" w14:textId="7837712D" w:rsidR="009E5483" w:rsidRDefault="009E5483">
          <w:pPr>
            <w:pStyle w:val="TDC1"/>
            <w:rPr>
              <w:rFonts w:asciiTheme="minorHAnsi" w:eastAsiaTheme="minorEastAsia" w:hAnsiTheme="minorHAnsi" w:cstheme="minorBidi"/>
              <w:noProof/>
              <w:color w:val="auto"/>
              <w:kern w:val="2"/>
              <w14:ligatures w14:val="standardContextual"/>
            </w:rPr>
          </w:pPr>
          <w:hyperlink w:anchor="_Toc240146209" w:history="1">
            <w:r>
              <w:rPr>
                <w:rStyle w:val="Hipervnculo"/>
                <w:rFonts w:cs="Arial"/>
                <w:b/>
                <w:noProof/>
              </w:rPr>
              <w:t>OBJETIVOS</w:t>
            </w:r>
            <w:r>
              <w:rPr>
                <w:noProof/>
                <w:webHidden/>
              </w:rPr>
              <w:tab/>
              <w:fldChar w:fldCharType="begin"/>
              <w:instrText xml:space="preserve"> PAGEREF _Toc240146209 \h </w:instrText>
              <w:fldChar w:fldCharType="separate"/>
              <w:t>13</w:t>
              <w:fldChar w:fldCharType="end"/>
            </w:r>
          </w:hyperlink>
        </w:p>
        <w:p w14:paraId="221BA298" w14:textId="7DF2CEEF" w:rsidR="009E5483" w:rsidRDefault="009E5483">
          <w:pPr>
            <w:pStyle w:val="TDC1"/>
            <w:rPr>
              <w:rFonts w:asciiTheme="minorHAnsi" w:eastAsiaTheme="minorEastAsia" w:hAnsiTheme="minorHAnsi" w:cstheme="minorBidi"/>
              <w:noProof/>
              <w:color w:val="auto"/>
              <w:kern w:val="2"/>
              <w14:ligatures w14:val="standardContextual"/>
            </w:rPr>
          </w:pPr>
          <w:hyperlink w:anchor="_Toc240146210" w:history="1">
            <w:r>
              <w:rPr>
                <w:rStyle w:val="Hipervnculo"/>
                <w:b/>
                <w:bCs/>
                <w:noProof/>
              </w:rPr>
              <w:t>Objetivo General.</w:t>
            </w:r>
            <w:r>
              <w:rPr>
                <w:noProof/>
                <w:webHidden/>
              </w:rPr>
              <w:tab/>
              <w:fldChar w:fldCharType="begin"/>
              <w:instrText xml:space="preserve"> PAGEREF _Toc240146210 \h </w:instrText>
              <w:fldChar w:fldCharType="separate"/>
              <w:t>13</w:t>
              <w:fldChar w:fldCharType="end"/>
            </w:r>
          </w:hyperlink>
        </w:p>
        <w:p w14:paraId="193971D8" w14:textId="13DFB0E8"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11" w:history="1">
            <w:r>
              <w:rPr>
                <w:rStyle w:val="Hipervnculo"/>
                <w:b/>
                <w:bCs/>
                <w:noProof/>
              </w:rPr>
              <w:t>Objetivos Específicos.</w:t>
            </w:r>
            <w:r>
              <w:rPr>
                <w:noProof/>
                <w:webHidden/>
              </w:rPr>
              <w:tab/>
              <w:fldChar w:fldCharType="begin"/>
              <w:instrText xml:space="preserve"> PAGEREF _Toc240146211 \h </w:instrText>
              <w:fldChar w:fldCharType="separate"/>
              <w:t>13</w:t>
              <w:fldChar w:fldCharType="end"/>
            </w:r>
          </w:hyperlink>
        </w:p>
        <w:p w14:paraId="4BD13007" w14:textId="1780A531" w:rsidR="009E5483" w:rsidRDefault="009E5483">
          <w:pPr>
            <w:pStyle w:val="TDC1"/>
            <w:rPr>
              <w:rFonts w:asciiTheme="minorHAnsi" w:eastAsiaTheme="minorEastAsia" w:hAnsiTheme="minorHAnsi" w:cstheme="minorBidi"/>
              <w:noProof/>
              <w:color w:val="auto"/>
              <w:kern w:val="2"/>
              <w14:ligatures w14:val="standardContextual"/>
            </w:rPr>
          </w:pPr>
          <w:hyperlink w:anchor="_Toc240146212" w:history="1">
            <w:r>
              <w:rPr>
                <w:rStyle w:val="Hipervnculo"/>
                <w:b/>
                <w:bCs/>
                <w:noProof/>
              </w:rPr>
              <w:t>MARCOS DE REFERENCIA</w:t>
            </w:r>
            <w:r>
              <w:rPr>
                <w:noProof/>
                <w:webHidden/>
              </w:rPr>
              <w:tab/>
              <w:fldChar w:fldCharType="begin"/>
              <w:instrText xml:space="preserve"> PAGEREF _Toc240146212 \h </w:instrText>
              <w:fldChar w:fldCharType="separate"/>
              <w:t>14</w:t>
              <w:fldChar w:fldCharType="end"/>
            </w:r>
          </w:hyperlink>
        </w:p>
        <w:p w14:paraId="332C5E1A" w14:textId="77F2F200"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13" w:history="1">
            <w:r>
              <w:rPr>
                <w:rStyle w:val="Hipervnculo"/>
                <w:b/>
                <w:bCs/>
                <w:noProof/>
              </w:rPr>
              <w:t>Marco Conceptual.</w:t>
            </w:r>
            <w:r>
              <w:rPr>
                <w:noProof/>
                <w:webHidden/>
              </w:rPr>
              <w:tab/>
              <w:fldChar w:fldCharType="begin"/>
              <w:instrText xml:space="preserve"> PAGEREF _Toc240146213 \h </w:instrText>
              <w:fldChar w:fldCharType="separate"/>
              <w:t>14</w:t>
              <w:fldChar w:fldCharType="end"/>
            </w:r>
          </w:hyperlink>
        </w:p>
        <w:p w14:paraId="4822D1F4" w14:textId="72B69B66"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14" w:history="1">
            <w:r>
              <w:rPr>
                <w:rStyle w:val="Hipervnculo"/>
                <w:b/>
                <w:bCs/>
                <w:noProof/>
              </w:rPr>
              <w:t>Marco Teórico.</w:t>
            </w:r>
            <w:r>
              <w:rPr>
                <w:noProof/>
                <w:webHidden/>
              </w:rPr>
              <w:tab/>
              <w:fldChar w:fldCharType="begin"/>
              <w:instrText xml:space="preserve"> PAGEREF _Toc240146214 \h </w:instrText>
              <w:fldChar w:fldCharType="separate"/>
              <w:t>16</w:t>
              <w:fldChar w:fldCharType="end"/>
            </w:r>
          </w:hyperlink>
        </w:p>
        <w:p w14:paraId="7ADD548E" w14:textId="2DAE918D"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15" w:history="1">
            <w:r>
              <w:rPr>
                <w:rStyle w:val="Hipervnculo"/>
                <w:b/>
                <w:bCs/>
                <w:noProof/>
              </w:rPr>
              <w:t>Marco Jurídico.</w:t>
            </w:r>
            <w:r>
              <w:rPr>
                <w:noProof/>
                <w:webHidden/>
              </w:rPr>
              <w:tab/>
              <w:fldChar w:fldCharType="begin"/>
              <w:instrText xml:space="preserve"> PAGEREF _Toc240146215 \h </w:instrText>
              <w:fldChar w:fldCharType="separate"/>
              <w:t>18</w:t>
              <w:fldChar w:fldCharType="end"/>
            </w:r>
          </w:hyperlink>
        </w:p>
        <w:p w14:paraId="1801C067" w14:textId="6CB582CA" w:rsidR="009E5483" w:rsidRDefault="009E5483">
          <w:pPr>
            <w:pStyle w:val="TDC1"/>
            <w:rPr>
              <w:rFonts w:asciiTheme="minorHAnsi" w:eastAsiaTheme="minorEastAsia" w:hAnsiTheme="minorHAnsi" w:cstheme="minorBidi"/>
              <w:noProof/>
              <w:color w:val="auto"/>
              <w:kern w:val="2"/>
              <w14:ligatures w14:val="standardContextual"/>
            </w:rPr>
          </w:pPr>
          <w:hyperlink w:anchor="_Toc240146216" w:history="1">
            <w:r>
              <w:rPr>
                <w:rStyle w:val="Hipervnculo"/>
                <w:b/>
                <w:bCs/>
                <w:noProof/>
              </w:rPr>
              <w:t>DISEÑO METODOLÓGICO</w:t>
            </w:r>
            <w:r>
              <w:rPr>
                <w:noProof/>
                <w:webHidden/>
              </w:rPr>
              <w:tab/>
              <w:fldChar w:fldCharType="begin"/>
              <w:instrText xml:space="preserve"> PAGEREF _Toc240146216 \h </w:instrText>
              <w:fldChar w:fldCharType="separate"/>
              <w:t>19</w:t>
              <w:fldChar w:fldCharType="end"/>
            </w:r>
          </w:hyperlink>
        </w:p>
        <w:p w14:paraId="163EE9CA" w14:textId="3BA57C8F"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17" w:history="1">
            <w:r>
              <w:rPr>
                <w:rStyle w:val="Hipervnculo"/>
                <w:b/>
                <w:bCs/>
                <w:noProof/>
              </w:rPr>
              <w:t>desarrollo del primer objetivo</w:t>
            </w:r>
            <w:r>
              <w:rPr>
                <w:noProof/>
                <w:webHidden/>
              </w:rPr>
              <w:tab/>
              <w:fldChar w:fldCharType="begin"/>
              <w:instrText xml:space="preserve"> PAGEREF _Toc240146217 \h </w:instrText>
              <w:fldChar w:fldCharType="separate"/>
              <w:t>19</w:t>
              <w:fldChar w:fldCharType="end"/>
            </w:r>
          </w:hyperlink>
        </w:p>
        <w:p w14:paraId="069BB0F8" w14:textId="10DFF25D"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18" w:history="1">
            <w:r>
              <w:rPr>
                <w:rStyle w:val="Hipervnculo"/>
                <w:b/>
                <w:bCs/>
                <w:noProof/>
              </w:rPr>
              <w:t>CONSTRUCCIÓN DE UN CONJUNTO DE DATOS REPRESENTATIVO PARA LA DETECCIÓN DE MALWARE</w:t>
            </w:r>
            <w:r>
              <w:rPr>
                <w:noProof/>
                <w:webHidden/>
              </w:rPr>
              <w:tab/>
              <w:fldChar w:fldCharType="begin"/>
              <w:instrText xml:space="preserve"> PAGEREF _Toc240146218 \h </w:instrText>
              <w:fldChar w:fldCharType="separate"/>
              <w:t>19</w:t>
              <w:fldChar w:fldCharType="end"/>
            </w:r>
          </w:hyperlink>
        </w:p>
        <w:p w14:paraId="1DE0D19E" w14:textId="0A9D7EB7" w:rsidR="009E5483" w:rsidRDefault="009E5483">
          <w:pPr>
            <w:pStyle w:val="TDC1"/>
            <w:rPr>
              <w:rFonts w:asciiTheme="minorHAnsi" w:eastAsiaTheme="minorEastAsia" w:hAnsiTheme="minorHAnsi" w:cstheme="minorBidi"/>
              <w:noProof/>
              <w:color w:val="auto"/>
              <w:kern w:val="2"/>
              <w14:ligatures w14:val="standardContextual"/>
            </w:rPr>
          </w:pPr>
          <w:hyperlink w:anchor="_Toc240146219" w:history="1">
            <w:r>
              <w:rPr>
                <w:rStyle w:val="Hipervnculo"/>
                <w:b/>
                <w:bCs/>
                <w:noProof/>
              </w:rPr>
              <w:t>Diccionario de datos — Grupos de características</w:t>
            </w:r>
            <w:r>
              <w:rPr>
                <w:noProof/>
                <w:webHidden/>
              </w:rPr>
              <w:tab/>
              <w:fldChar w:fldCharType="begin"/>
              <w:instrText xml:space="preserve"> PAGEREF _Toc240146219 \h </w:instrText>
              <w:fldChar w:fldCharType="separate"/>
              <w:t>20</w:t>
              <w:fldChar w:fldCharType="end"/>
            </w:r>
          </w:hyperlink>
        </w:p>
        <w:p w14:paraId="54D664BA" w14:textId="0B51B693"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20" w:history="1">
            <w:r>
              <w:rPr>
                <w:rStyle w:val="Hipervnculo"/>
                <w:b/>
                <w:bCs/>
                <w:noProof/>
              </w:rPr>
              <w:t>desarrollo del Segundo objetivo</w:t>
            </w:r>
            <w:r>
              <w:rPr>
                <w:noProof/>
                <w:webHidden/>
              </w:rPr>
              <w:tab/>
              <w:fldChar w:fldCharType="begin"/>
              <w:instrText xml:space="preserve"> PAGEREF _Toc240146220 \h </w:instrText>
              <w:fldChar w:fldCharType="separate"/>
              <w:t>22</w:t>
              <w:fldChar w:fldCharType="end"/>
            </w:r>
          </w:hyperlink>
        </w:p>
        <w:p w14:paraId="3FE3149A" w14:textId="2149A641"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21" w:history="1">
            <w:r>
              <w:rPr>
                <w:rStyle w:val="Hipervnculo"/>
                <w:b/>
                <w:bCs/>
                <w:noProof/>
              </w:rPr>
              <w:t>ENTRENAMIENTO Y COMPARACIÓN DE MODELOS DE CLASIFICACIÓN PARA LA DETECCIÓN DE MALWARE</w:t>
            </w:r>
            <w:r>
              <w:rPr>
                <w:noProof/>
                <w:webHidden/>
              </w:rPr>
              <w:tab/>
              <w:fldChar w:fldCharType="begin"/>
              <w:instrText xml:space="preserve"> PAGEREF _Toc240146221 \h </w:instrText>
              <w:fldChar w:fldCharType="separate"/>
              <w:t>22</w:t>
              <w:fldChar w:fldCharType="end"/>
            </w:r>
          </w:hyperlink>
        </w:p>
        <w:p w14:paraId="059A3A68" w14:textId="25D70A94" w:rsidR="009E5483" w:rsidRDefault="009E5483">
          <w:pPr>
            <w:pStyle w:val="TDC2"/>
            <w:tabs>
              <w:tab w:val="right" w:leader="dot" w:pos="9690"/>
            </w:tabs>
            <w:rPr>
              <w:rFonts w:asciiTheme="minorHAnsi" w:eastAsiaTheme="minorEastAsia" w:hAnsiTheme="minorHAnsi" w:cstheme="minorBidi"/>
              <w:noProof/>
              <w:color w:val="auto"/>
              <w:kern w:val="2"/>
              <w14:ligatures w14:val="standardContextual"/>
            </w:rPr>
          </w:pPr>
          <w:hyperlink w:anchor="_Toc240146222" w:history="1">
            <w:r>
              <w:rPr>
                <w:rStyle w:val="Hipervnculo"/>
                <w:b/>
                <w:bCs/>
                <w:noProof/>
              </w:rPr>
              <w:t>DESARROLLO DEL TERCER OBJETIVO</w:t>
            </w:r>
            <w:r>
              <w:rPr>
                <w:noProof/>
                <w:webHidden/>
              </w:rPr>
              <w:tab/>
              <w:fldChar w:fldCharType="begin"/>
              <w:instrText xml:space="preserve"> PAGEREF _Toc240146222 \h </w:instrText>
              <w:fldChar w:fldCharType="separate"/>
              <w:t>24</w:t>
              <w:fldChar w:fldCharType="end"/>
            </w:r>
          </w:hyperlink>
        </w:p>
        <w:p w14:paraId="08BF4ED3" w14:textId="146BDBA9" w:rsidR="009E5483" w:rsidRDefault="009E5483">
          <w:pPr>
            <w:pStyle w:val="TDC1"/>
            <w:rPr>
              <w:rFonts w:asciiTheme="minorHAnsi" w:eastAsiaTheme="minorEastAsia" w:hAnsiTheme="minorHAnsi" w:cstheme="minorBidi"/>
              <w:noProof/>
              <w:color w:val="auto"/>
              <w:kern w:val="2"/>
              <w14:ligatures w14:val="standardContextual"/>
            </w:rPr>
          </w:pPr>
          <w:hyperlink w:anchor="_Toc240146223" w:history="1">
            <w:r>
              <w:rPr>
                <w:rStyle w:val="Hipervnculo"/>
                <w:b/>
                <w:noProof/>
              </w:rPr>
              <w:t>CONCLUSIONES</w:t>
            </w:r>
            <w:r>
              <w:rPr>
                <w:noProof/>
                <w:webHidden/>
              </w:rPr>
              <w:tab/>
              <w:fldChar w:fldCharType="begin"/>
              <w:instrText xml:space="preserve"> PAGEREF _Toc240146223 \h </w:instrText>
              <w:fldChar w:fldCharType="separate"/>
              <w:t>24</w:t>
              <w:fldChar w:fldCharType="end"/>
            </w:r>
          </w:hyperlink>
        </w:p>
        <w:p w14:paraId="2E3F9A1E" w14:textId="2DC440B7" w:rsidR="009E5483" w:rsidRDefault="009E5483">
          <w:pPr>
            <w:pStyle w:val="TDC1"/>
            <w:rPr>
              <w:rFonts w:asciiTheme="minorHAnsi" w:eastAsiaTheme="minorEastAsia" w:hAnsiTheme="minorHAnsi" w:cstheme="minorBidi"/>
              <w:noProof/>
              <w:color w:val="auto"/>
              <w:kern w:val="2"/>
              <w14:ligatures w14:val="standardContextual"/>
            </w:rPr>
          </w:pPr>
          <w:hyperlink w:anchor="_Toc240146224" w:history="1">
            <w:r>
              <w:rPr>
                <w:rStyle w:val="Hipervnculo"/>
                <w:rFonts w:cs="Arial"/>
                <w:b/>
                <w:bCs/>
                <w:noProof/>
              </w:rPr>
              <w:t>BIBLIOGRAFÍA</w:t>
            </w:r>
            <w:r>
              <w:rPr>
                <w:noProof/>
                <w:webHidden/>
              </w:rPr>
              <w:tab/>
              <w:fldChar w:fldCharType="begin"/>
              <w:instrText xml:space="preserve"> PAGEREF _Toc240146224 \h </w:instrText>
              <w:fldChar w:fldCharType="separate"/>
              <w:t>25</w:t>
              <w:fldChar w:fldCharType="end"/>
            </w:r>
          </w:hyperlink>
        </w:p>
        <w:p w14:paraId="088C111B" w14:textId="5CF38379" w:rsidR="009E5483" w:rsidRDefault="009E5483">
          <w:r>
            <w:rPr>
              <w:b/>
              <w:bCs/>
              <w:lang w:val="es-ES"/>
            </w:rPr>
            <w:fldChar w:fldCharType="end"/>
          </w:r>
        </w:p>
      </w:sdtContent>
    </w:sdt>
    <w:p w14:paraId="2CB1630F" w14:textId="77777777" w:rsidR="005D76A8" w:rsidRDefault="005D76A8" w:rsidP="005D76A8"/>
    <w:p w14:paraId="181D9341" w14:textId="77777777" w:rsidR="005D76A8" w:rsidRDefault="005D76A8" w:rsidP="005D76A8"/>
    <w:p w14:paraId="3C18355C" w14:textId="77777777" w:rsidR="005D76A8" w:rsidRDefault="005D76A8" w:rsidP="005D76A8"/>
    <w:p w14:paraId="005818AE" w14:textId="77777777" w:rsidR="005D76A8" w:rsidRDefault="005D76A8" w:rsidP="005D76A8"/>
    <w:p w14:paraId="71950B52" w14:textId="77777777" w:rsidR="005D76A8" w:rsidRDefault="005D76A8" w:rsidP="005D76A8"/>
    <w:p w14:paraId="2145DF79" w14:textId="77777777" w:rsidR="005D76A8" w:rsidRDefault="005D76A8" w:rsidP="005D76A8"/>
    <w:p w14:paraId="211758DC" w14:textId="77777777" w:rsidR="005D76A8" w:rsidRDefault="005D76A8" w:rsidP="005D76A8"/>
    <w:p w14:paraId="21E58BC8" w14:textId="77777777" w:rsidR="005D76A8" w:rsidRDefault="005D76A8" w:rsidP="005D76A8"/>
    <w:p w14:paraId="193885EC" w14:textId="77777777" w:rsidR="005D76A8" w:rsidRDefault="005D76A8" w:rsidP="005D76A8"/>
    <w:p w14:paraId="6303E7DF" w14:textId="77777777" w:rsidR="005D76A8" w:rsidRDefault="005D76A8" w:rsidP="005D76A8"/>
    <w:p w14:paraId="3B6346FD" w14:textId="4DEC7E4B" w:rsidR="00B826AA" w:rsidRPr="009E5483" w:rsidRDefault="00BB0F5B" w:rsidP="009E5483">
      <w:pPr>
        <w:pStyle w:val="Ttulo1"/>
        <w:rPr>
          <w:b/>
          <w:bCs/>
        </w:rPr>
      </w:pPr>
      <w:bookmarkStart w:id="1" w:name="_Toc240146202"/>
      <w:r>
        <w:rPr>
          <w:b/>
          <w:bCs/>
        </w:rPr>
        <w:lastRenderedPageBreak/>
        <w:t>GLOSARIO</w:t>
      </w:r>
      <w:bookmarkEnd w:id="1"/>
    </w:p>
    <w:p w:rsidR="00607526" w:rsidRDefault="00607526" w:rsidP="00607526">
      <w:pPr>
        <w:pStyle w:val="Textoindependiente"/>
        <w:spacing w:before="276"/>
        <w:ind w:left="568" w:right="383"/>
      </w:pPr>
      <w:r>
        <w:rPr>
          <w:b/>
          <w:bCs/>
        </w:rPr>
        <w:t xml:space="preserve">Algoritmo de clasificación: </w:t>
      </w:r>
      <w:r>
        <w:t xml:space="preserve">Procedimiento matemático que, a partir de un conjunto de características de entrada, asigna una categoría de salida a cada instancia analizada. En este proyecto se emplea para determinar si un archivo es malicioso o benigno.</w:t>
      </w:r>
    </w:p>
    <w:p w:rsidR="00607526" w:rsidRDefault="00607526" w:rsidP="00607526">
      <w:pPr>
        <w:pStyle w:val="Textoindependiente"/>
        <w:spacing w:before="276"/>
        <w:ind w:left="568" w:right="383"/>
      </w:pPr>
      <w:r>
        <w:rPr>
          <w:b/>
          <w:bCs/>
        </w:rPr>
        <w:t xml:space="preserve">Análisis estático: </w:t>
      </w:r>
      <w:r>
        <w:t xml:space="preserve">Examen de un archivo a partir de su estructura y contenido (encabezados, secciones, funciones importadas, cadenas de texto, distribución de bytes) sin ejecutarlo. Es el enfoque de este proyecto y de los conjuntos de datos EMBER.</w:t>
      </w:r>
    </w:p>
    <w:p w:rsidR="00607526" w:rsidRDefault="00607526" w:rsidP="00607526">
      <w:pPr>
        <w:pStyle w:val="Textoindependiente"/>
        <w:spacing w:before="276"/>
        <w:ind w:left="568" w:right="383"/>
      </w:pPr>
      <w:r>
        <w:rPr>
          <w:b/>
          <w:bCs/>
        </w:rPr>
        <w:t xml:space="preserve">AUC-ROC: </w:t>
      </w:r>
      <w:r>
        <w:t xml:space="preserve">Métrica de evaluación de modelos de clasificación que mide el área bajo la curva receptor-operador (ROC). Indica la capacidad del modelo para distinguir entre clases en todos los umbrales de decisión; un valor cercano a 1 refleja alta discriminación.</w:t>
      </w:r>
    </w:p>
    <w:p w:rsidR="00607526" w:rsidRDefault="00607526" w:rsidP="00607526">
      <w:pPr>
        <w:pStyle w:val="Textoindependiente"/>
        <w:spacing w:before="276"/>
        <w:ind w:left="568" w:right="383"/>
      </w:pPr>
      <w:r>
        <w:rPr>
          <w:b/>
          <w:bCs/>
        </w:rPr>
        <w:t xml:space="preserve">Conjunto de desafío (challenge set): </w:t>
      </w:r>
      <w:r>
        <w:t xml:space="preserve">Subconjunto de EMBER2024 con 6.315 archivos maliciosos que ningún motor antivirus detectó en su primer análisis en VirusTotal y que fueron identificados como malware semanas después. Se usa para medir la capacidad de un clasificador de detectar malware evasivo.</w:t>
      </w:r>
    </w:p>
    <w:p w:rsidR="00607526" w:rsidRDefault="00607526" w:rsidP="00607526">
      <w:pPr>
        <w:pStyle w:val="Textoindependiente"/>
        <w:spacing w:before="276"/>
        <w:ind w:left="568" w:right="383"/>
      </w:pPr>
      <w:r>
        <w:rPr>
          <w:b/>
          <w:bCs/>
        </w:rPr>
        <w:t xml:space="preserve">Deriva de concepto (concept drift): </w:t>
      </w:r>
      <w:r>
        <w:t xml:space="preserve">Cambio en la distribución de los datos a lo largo del tiempo (nuevas familias de malware, nuevas técnicas de evasión) que degrada el desempeño de un modelo entrenado con datos antiguos. Se evalúa con particiones temporales: probar con archivos posteriores a los de entrenamiento.</w:t>
      </w:r>
    </w:p>
    <w:p w:rsidR="00607526" w:rsidRDefault="00607526" w:rsidP="00607526">
      <w:pPr>
        <w:pStyle w:val="Textoindependiente"/>
        <w:spacing w:before="276"/>
        <w:ind w:left="568" w:right="383"/>
      </w:pPr>
      <w:r>
        <w:rPr>
          <w:b/>
          <w:bCs/>
        </w:rPr>
        <w:t xml:space="preserve">Detección de malware: </w:t>
      </w:r>
      <w:r>
        <w:t xml:space="preserve">Proceso mediante el cual se identifica si un archivo o programa contiene código diseñado para causar daño, robar información o comprometer la seguridad de un sistema.</w:t>
      </w:r>
    </w:p>
    <w:p w:rsidR="00607526" w:rsidRDefault="00607526" w:rsidP="00607526">
      <w:pPr>
        <w:pStyle w:val="Textoindependiente"/>
        <w:spacing w:before="276"/>
        <w:ind w:left="568" w:right="383"/>
      </w:pPr>
      <w:r>
        <w:rPr>
          <w:b/>
          <w:bCs/>
        </w:rPr>
        <w:t xml:space="preserve">EMBER2024: </w:t>
      </w:r>
      <w:r>
        <w:t xml:space="preserve">Versión 2024 del conjunto de datos EMBER [1], con 3,2 millones de archivos de seis formatos, vectores de 2.568 características estáticas, etiquetas benigno/malicioso, familias, comportamientos y un conjunto de desafío de malware evasivo. Es la fuente de datos de este proyecto.</w:t>
      </w:r>
    </w:p>
    <w:p w:rsidR="00607526" w:rsidRDefault="00607526" w:rsidP="00607526">
      <w:pPr>
        <w:pStyle w:val="Textoindependiente"/>
        <w:spacing w:before="276"/>
        <w:ind w:left="568" w:right="383"/>
      </w:pPr>
      <w:r>
        <w:rPr>
          <w:b/>
          <w:bCs/>
        </w:rPr>
        <w:t xml:space="preserve">Explicabilidad (XAI): </w:t>
      </w:r>
      <w:r>
        <w:t xml:space="preserve">Conjunto de técnicas que permiten interpretar y comunicar de forma comprensible las decisiones tomadas por un modelo de aprendizaje automático, haciendo transparente el razonamiento detrás de cada predicción.</w:t>
      </w:r>
    </w:p>
    <w:p w:rsidR="00607526" w:rsidRDefault="00607526" w:rsidP="00607526">
      <w:pPr>
        <w:pStyle w:val="Textoindependiente"/>
        <w:spacing w:before="276"/>
        <w:ind w:left="568" w:right="383"/>
      </w:pPr>
      <w:r>
        <w:rPr>
          <w:b/>
          <w:bCs/>
        </w:rPr>
        <w:t xml:space="preserve">Extra Trees (Extremely Randomized Trees): </w:t>
      </w:r>
      <w:r>
        <w:t xml:space="preserve">Ensamble de árboles de decisión en el que los umbrales de división se eligen al azar [2]. En este proyecto se usa para calcular la importancia de cada característica y ordenarlas.</w:t>
      </w:r>
    </w:p>
    <w:p w:rsidR="00607526" w:rsidRDefault="00607526" w:rsidP="00607526">
      <w:pPr>
        <w:pStyle w:val="Textoindependiente"/>
        <w:spacing w:before="276"/>
        <w:ind w:left="568" w:right="383"/>
      </w:pPr>
      <w:r>
        <w:rPr>
          <w:b/>
          <w:bCs/>
        </w:rPr>
        <w:t xml:space="preserve">F1-score: </w:t>
      </w:r>
      <w:r>
        <w:t xml:space="preserve">Media armónica entre precisión y recall. Es una métrica adecuada cuando ambos tipos de error importan o cuando existe desbalance entre clases, como ocurre con frecuencia en los conjuntos de datos de malware.</w:t>
      </w:r>
    </w:p>
    <w:p w:rsidR="00607526" w:rsidRDefault="00607526" w:rsidP="00607526">
      <w:pPr>
        <w:pStyle w:val="Textoindependiente"/>
        <w:spacing w:before="276"/>
        <w:ind w:left="568" w:right="383"/>
      </w:pPr>
      <w:r>
        <w:rPr>
          <w:b/>
          <w:bCs/>
        </w:rPr>
        <w:t xml:space="preserve">Falso positivo y falso negativo: </w:t>
      </w:r>
      <w:r>
        <w:t xml:space="preserve">Un falso positivo es un archivo benigno clasificado como malicioso; su tasa (FPR) se calcula como FP/(FP+TN). Un falso negativo es un archivo malicioso clasificado como benigno; es el error más costoso en detección de malware.</w:t>
      </w:r>
    </w:p>
    <w:p w:rsidR="00607526" w:rsidRDefault="00607526" w:rsidP="00607526">
      <w:pPr>
        <w:pStyle w:val="Textoindependiente"/>
        <w:spacing w:before="276"/>
        <w:ind w:left="568" w:right="383"/>
      </w:pPr>
      <w:r>
        <w:rPr>
          <w:b/>
          <w:bCs/>
        </w:rPr>
        <w:t xml:space="preserve">Fileless malware: </w:t>
      </w:r>
      <w:r>
        <w:t xml:space="preserve">Tipo de software malicioso que opera exclusivamente en la memoria RAM del sistema sin escribir archivos en disco, lo que le permite evadir los escáneres tradicionales basados en firmas.</w:t>
      </w:r>
    </w:p>
    <w:p w:rsidR="00607526" w:rsidRDefault="00607526" w:rsidP="00607526">
      <w:pPr>
        <w:pStyle w:val="Textoindependiente"/>
        <w:spacing w:before="276"/>
        <w:ind w:left="568" w:right="383"/>
      </w:pPr>
      <w:r>
        <w:rPr>
          <w:b/>
          <w:bCs/>
        </w:rPr>
        <w:t xml:space="preserve">Gradio: </w:t>
      </w:r>
      <w:r>
        <w:t xml:space="preserve">Biblioteca de Python para construir interfaces web interactivas de modelos de machine learning con pocas líneas de código, sin desarrollar frontend y backend por separado. Es la herramienta con la que se despliega la aplicación del proyecto.</w:t>
      </w:r>
    </w:p>
    <w:p w:rsidR="00607526" w:rsidRDefault="00607526" w:rsidP="00607526">
      <w:pPr>
        <w:pStyle w:val="Textoindependiente"/>
        <w:spacing w:before="276"/>
        <w:ind w:left="568" w:right="383"/>
      </w:pPr>
      <w:r>
        <w:rPr>
          <w:b/>
          <w:bCs/>
        </w:rPr>
        <w:t xml:space="preserve">Hashing trick: </w:t>
      </w:r>
      <w:r>
        <w:t xml:space="preserve">Técnica que proyecta un conjunto variable de nombres (por ejemplo, las funciones que importa un archivo) a un vector numérico de tamaño fijo mediante una función hash. EMBER la utiliza para representar secciones, importaciones y exportaciones.</w:t>
      </w:r>
    </w:p>
    <w:p w:rsidR="00607526" w:rsidRDefault="00607526" w:rsidP="00607526">
      <w:pPr>
        <w:pStyle w:val="Textoindependiente"/>
        <w:spacing w:before="276"/>
        <w:ind w:left="568" w:right="383"/>
      </w:pPr>
      <w:r>
        <w:rPr>
          <w:b/>
          <w:bCs/>
        </w:rPr>
        <w:t xml:space="preserve">Ingeniería de características (feature engineering): </w:t>
      </w:r>
      <w:r>
        <w:t xml:space="preserve">Proceso de selección, transformación y construcción de variables a partir de datos brutos, con el objetivo de mejorar el rendimiento de los modelos de aprendizaje automático.</w:t>
      </w:r>
    </w:p>
    <w:p w:rsidR="00607526" w:rsidRDefault="00607526" w:rsidP="00607526">
      <w:pPr>
        <w:pStyle w:val="Textoindependiente"/>
        <w:spacing w:before="276"/>
        <w:ind w:left="568" w:right="383"/>
      </w:pPr>
      <w:r>
        <w:rPr>
          <w:b/>
          <w:bCs/>
        </w:rPr>
        <w:t xml:space="preserve">LIME (Local Interpretable Model-agnostic Explanations): </w:t>
      </w:r>
      <w:r>
        <w:t xml:space="preserve">Técnica de XAI que genera explicaciones locales para predicciones individuales, aproximando el comportamiento del modelo mediante un modelo interpretable en la vecindad del dato analizado.</w:t>
      </w:r>
    </w:p>
    <w:p w:rsidR="00607526" w:rsidRDefault="00607526" w:rsidP="00607526">
      <w:pPr>
        <w:pStyle w:val="Textoindependiente"/>
        <w:spacing w:before="276"/>
        <w:ind w:left="568" w:right="383"/>
      </w:pPr>
      <w:r>
        <w:rPr>
          <w:b/>
          <w:bCs/>
        </w:rPr>
        <w:t xml:space="preserve">Machine Learning: </w:t>
      </w:r>
      <w:r>
        <w:t xml:space="preserve">Rama de la inteligencia artificial que desarrolla algoritmos capaces de aprender patrones a partir de datos y generalizar ese aprendizaje para hacer predicciones sobre instancias nuevas sin ser programados explícitamente para cada caso.</w:t>
      </w:r>
    </w:p>
    <w:p w:rsidR="00607526" w:rsidRDefault="00607526" w:rsidP="00607526">
      <w:pPr>
        <w:pStyle w:val="Textoindependiente"/>
        <w:spacing w:before="276"/>
        <w:ind w:left="568" w:right="383"/>
      </w:pPr>
      <w:r>
        <w:rPr>
          <w:b/>
          <w:bCs/>
        </w:rPr>
        <w:t xml:space="preserve">Malware: </w:t>
      </w:r>
      <w:r>
        <w:t xml:space="preserve">Contracción de malicious software. Término que agrupa cualquier programa diseñado con el propósito de dañar, infiltrar o comprometer sistemas informáticos, incluyendo virus, troyanos, ransomware, spyware y gusanos, entre otros.</w:t>
      </w:r>
    </w:p>
    <w:p w:rsidR="00607526" w:rsidRDefault="00607526" w:rsidP="00607526">
      <w:pPr>
        <w:pStyle w:val="Textoindependiente"/>
        <w:spacing w:before="276"/>
        <w:ind w:left="568" w:right="383"/>
      </w:pPr>
      <w:r>
        <w:rPr>
          <w:b/>
          <w:bCs/>
        </w:rPr>
        <w:t xml:space="preserve">Metamorfismo: </w:t>
      </w:r>
      <w:r>
        <w:t xml:space="preserve">Técnica avanzada de evasión en la que el malware reescribe completamente su propio código en cada ejecución, alterando su estructura lógica sin modificar su comportamiento malicioso, con el fin de eludir la detección por firmas.</w:t>
      </w:r>
    </w:p>
    <w:p w:rsidR="00607526" w:rsidRDefault="00607526" w:rsidP="00607526">
      <w:pPr>
        <w:pStyle w:val="Textoindependiente"/>
        <w:spacing w:before="276"/>
        <w:ind w:left="568" w:right="383"/>
      </w:pPr>
      <w:r>
        <w:rPr>
          <w:b/>
          <w:bCs/>
        </w:rPr>
        <w:t xml:space="preserve">PE (Portable Executable): </w:t>
      </w:r>
      <w:r>
        <w:t xml:space="preserve">Formato estándar de los ejecutables y librerías de Windows (.exe, .dll). Contiene encabezados, una tabla de secciones, tablas de importaciones y exportaciones y directorios de datos que pueden analizarse sin ejecutar el archivo.</w:t>
      </w:r>
    </w:p>
    <w:p w:rsidR="00607526" w:rsidRDefault="00607526" w:rsidP="00607526">
      <w:pPr>
        <w:pStyle w:val="Textoindependiente"/>
        <w:spacing w:before="276"/>
        <w:ind w:left="568" w:right="383"/>
      </w:pPr>
      <w:r>
        <w:rPr>
          <w:b/>
          <w:bCs/>
        </w:rPr>
        <w:t xml:space="preserve">Polimorfismo: </w:t>
      </w:r>
      <w:r>
        <w:t xml:space="preserve">Técnica mediante la cual el malware cifra o modifica su código en cada propagación, manteniendo la misma funcionalidad pero cambiando su firma digital para evadir los sistemas de detección tradicionales.</w:t>
      </w:r>
    </w:p>
    <w:p w:rsidR="00607526" w:rsidRDefault="00607526" w:rsidP="00607526">
      <w:pPr>
        <w:pStyle w:val="Textoindependiente"/>
        <w:spacing w:before="276"/>
        <w:ind w:left="568" w:right="383"/>
      </w:pPr>
      <w:r>
        <w:rPr>
          <w:b/>
          <w:bCs/>
        </w:rPr>
        <w:t xml:space="preserve">Random Forest: </w:t>
      </w:r>
      <w:r>
        <w:t xml:space="preserve">Algoritmo de aprendizaje automático basado en la construcción de múltiples árboles de decisión durante el entrenamiento. La predicción final se obtiene por votación entre todos los árboles, lo que reduce el sobreajuste y mejora la generalización.</w:t>
      </w:r>
    </w:p>
    <w:p w:rsidR="00607526" w:rsidRDefault="00607526" w:rsidP="00607526">
      <w:pPr>
        <w:pStyle w:val="Textoindependiente"/>
        <w:spacing w:before="276"/>
        <w:ind w:left="568" w:right="383"/>
      </w:pPr>
      <w:r>
        <w:rPr>
          <w:b/>
          <w:bCs/>
        </w:rPr>
        <w:t xml:space="preserve">Recall (exhaustividad): </w:t>
      </w:r>
      <w:r>
        <w:t xml:space="preserve">Proporción de instancias positivas reales que el modelo identifica correctamente. En detección de malware es crítico maximizarlo para minimizar los falsos negativos, es decir, archivos maliciosos clasificados como benignos.</w:t>
      </w:r>
    </w:p>
    <w:p w:rsidR="00607526" w:rsidRDefault="00607526" w:rsidP="00607526">
      <w:pPr>
        <w:pStyle w:val="Textoindependiente"/>
        <w:spacing w:before="276"/>
        <w:ind w:left="568" w:right="383"/>
      </w:pPr>
      <w:r>
        <w:rPr>
          <w:b/>
          <w:bCs/>
        </w:rPr>
        <w:t xml:space="preserve">SHAP (SHapley Additive exPlanations): </w:t>
      </w:r>
      <w:r>
        <w:t xml:space="preserve">Técnica de XAI basada en la teoría de juegos cooperativos que asigna a cada característica un valor de contribución a la predicción del modelo, permitiendo explicaciones globales y locales coherentes.</w:t>
      </w:r>
    </w:p>
    <w:p w:rsidR="00607526" w:rsidRDefault="00607526" w:rsidP="00607526">
      <w:pPr>
        <w:pStyle w:val="Textoindependiente"/>
        <w:spacing w:before="276"/>
        <w:ind w:left="568" w:right="383"/>
      </w:pPr>
      <w:r>
        <w:rPr>
          <w:b/>
          <w:bCs/>
        </w:rPr>
        <w:t xml:space="preserve">SUS (System Usability Scale): </w:t>
      </w:r>
      <w:r>
        <w:t>Cuestionario estandarizado de diez afirmaciones [3] que produce un puntaje de usabilidad entre 0 y 100. Un puntaje de 68 corresponde al promedio de referencia; valores superiores a 70 se consideran buenos. En este proyecto se usó la versión con las diez afirmaciones redactadas en sentido positivo.</w:t>
      </w:r>
    </w:p>
    <w:p w:rsidR="00607526" w:rsidRDefault="00607526" w:rsidP="00607526">
      <w:pPr>
        <w:pStyle w:val="Textoindependiente"/>
        <w:spacing w:before="276"/>
        <w:ind w:left="568" w:right="383"/>
      </w:pPr>
      <w:r>
        <w:rPr>
          <w:b/>
          <w:bCs/>
        </w:rPr>
        <w:t xml:space="preserve">Validación cruzada: </w:t>
      </w:r>
      <w:r>
        <w:t xml:space="preserve">Técnica de evaluación que divide los datos de entrenamiento en k particiones y entrena y valida el modelo k veces, de modo que la estimación de desempeño no dependa de una única división de los datos.</w:t>
      </w:r>
    </w:p>
    <w:p w:rsidR="00607526" w:rsidRDefault="00607526" w:rsidP="00607526">
      <w:pPr>
        <w:pStyle w:val="Textoindependiente"/>
        <w:spacing w:before="276"/>
        <w:ind w:left="568" w:right="383"/>
      </w:pPr>
      <w:r>
        <w:rPr>
          <w:b/>
          <w:bCs/>
        </w:rPr>
        <w:t xml:space="preserve">XGBoost (Extreme Gradient Boosting): </w:t>
      </w:r>
      <w:r>
        <w:t xml:space="preserve">Algoritmo de aprendizaje automático basado en el método de boosting por gradiente que construye árboles de forma secuencial, donde cada árbol corrige los errores del anterior. Destaca por su eficiencia computacional y alto rendimiento en tareas de clasificación.</w:t>
      </w:r>
    </w:p>
    <w:p w14:paraId="2302213B" w14:textId="77777777" w:rsidR="00B826AA" w:rsidRPr="00862105" w:rsidRDefault="00BB0F5B" w:rsidP="00862105">
      <w:pPr>
        <w:ind w:firstLine="709"/>
        <w:rPr>
          <w:rFonts w:eastAsia="Arial" w:cs="Arial"/>
        </w:rPr>
      </w:pPr>
      <w:r>
        <w:rPr>
          <w:rFonts w:cs="Arial"/>
        </w:rPr>
        <w:br w:type="page"/>
      </w:r>
    </w:p>
    <w:p w14:paraId="085802D4" w14:textId="77777777" w:rsidR="00B826AA" w:rsidRPr="009E5483" w:rsidRDefault="00BB0F5B" w:rsidP="009E5483">
      <w:pPr>
        <w:pStyle w:val="Ttulo1"/>
        <w:rPr>
          <w:b/>
          <w:bCs/>
        </w:rPr>
      </w:pPr>
      <w:bookmarkStart w:id="2" w:name="_Toc240146203"/>
      <w:r>
        <w:rPr>
          <w:b/>
          <w:bCs/>
        </w:rPr>
        <w:lastRenderedPageBreak/>
        <w:t>RESUMEN</w:t>
      </w:r>
      <w:bookmarkEnd w:id="2"/>
    </w:p>
    <w:p w14:paraId="6F62391B" w14:textId="77777777" w:rsidR="00607526" w:rsidRDefault="00607526" w:rsidP="00607526">
      <w:pPr>
        <w:pStyle w:val="Textoindependiente"/>
        <w:spacing w:line="276" w:lineRule="auto"/>
        <w:ind w:left="568" w:right="260"/>
        <w:jc w:val="both"/>
      </w:pPr>
      <w:r>
        <w:t xml:space="preserve">El malware crece en volumen y sofisticación: durante 2025 se detectaron en promedio cerca de 500.000 archivos maliciosos nuevos por día, un 7 % más que el año anterior, y técnicas como el polimorfismo, el metamorfismo y el malware sin archivos reducen la eficacia de los antivirus basados en firmas. En Colombia, la Ley 1273 de 2009, la Ley 1581 de 2012 y el CONPES 3995 de 2020 exigen medidas activas de protección de la información, pero las herramientas de detección basadas en machine learning están concebidas para especialistas y operan como cajas negras que no explican sus decisiones. Este trabajo de grado implementó un sistema inteligente de detección de malware en archivos ejecutables de Windows que integra modelos de clasificación, inteligencia artificial explicable (XAI) y una interfaz web pensada para usuarios sin formación técnica. Se construyó el conjunto de datos a partir de EMBER2024, el benchmark público más reciente para esta tarea (3,2 millones de archivos recolectados entre 2023 y 2024), usando su subconjunto de ejecutables PE (Win32, Win64 y .NET) y el extractor oficial de 2.568 características estáticas; la dimensionalidad se redujo con un ranking Extra Trees, un filtro de correlación y una curva K vs. F1 con regla explícita de selección (15 características, 99,4 % de reducción conservando el 95,5 % del F1 de referencia). Se entrenaron y compararon Random Forest, XGBoost y una red neuronal densa con búsqueda aleatoria de hiperparámetros y validación cruzada, evaluándolos sobre una partición de prueba temporal (archivos posteriores a los de entrenamiento) y sobre el conjunto de desafío de malware evasivo de EMBER2024. </w:t>
      </w:r>
      <w:r>
        <w:t>Con el modelo elegido, Random Forest, se obtuvo un F1 de 0,925, un recall de 0,925 y una tasa de falsos positivos de 7,4 % en la prueba temporal; además, el modelo encontró el 57,3 % del malware evasivo del conjunto de desafío. No se lograron las metas de F1 ≥ 0,95 y FPR ≤ 5 %, y el análisis indica que la causa principal fue dejar solo 15 características. A ese modelo se le agregó SHAP (y LIME para comparar) junto con una capa que convierte las explicaciones en lenguaje sencillo. Todo esto se puso en una aplicación web hecha con Gradio, que revisa el archivo sin ejecutarlo y muestra el veredicto, el nivel de riesgo, una recomendación y las razones de la decisión. El sistema explicó el 100 % de las predicciones con fidelidad exacta, tuvo un acuerdo SHAP-LIME de 0,68, pasó las 9 pruebas funcionales y tardó menos de 3,5 s por archivo (percentil 95) con archivos de hasta 5 MB; en la prueba de usabilidad con 10 participantes, el puntaje SUS promedio fue de 86,0 (meta ≥ 70), aunque los cinco participantes sin formación técnica necesitaron ayuda para subir el archivo y entender el resultado</w:t>
      </w:r>
      <w:r>
        <w:rPr>
          <w:highlight w:val="yellow"/>
        </w:rPr>
      </w:r>
      <w:r>
        <w:t xml:space="preserve">. En conclusión, sí es posible ofrecer detección de malware con explicaciones fáciles de entender a personas que no saben de ciberseguridad, y el trabajo deja registradas las limitaciones del análisis estático frente al malware evasivo y la deriva temporal.</w:t>
      </w:r>
    </w:p>
    <w:p w14:paraId="772642AA" w14:textId="77777777" w:rsidR="00607526" w:rsidRDefault="00607526" w:rsidP="00607526">
      <w:pPr>
        <w:pStyle w:val="Textoindependiente"/>
        <w:spacing w:line="276" w:lineRule="auto"/>
        <w:ind w:left="568" w:right="260"/>
        <w:jc w:val="both"/>
      </w:pPr>
    </w:p>
    <w:p w14:paraId="36672764" w14:textId="77777777" w:rsidR="00607526" w:rsidRPr="00C40287" w:rsidRDefault="1F518A91" w:rsidP="00607526">
      <w:pPr>
        <w:pStyle w:val="Textoindependiente"/>
        <w:spacing w:before="6" w:line="278" w:lineRule="auto"/>
        <w:ind w:left="635" w:right="329" w:hanging="72"/>
        <w:jc w:val="both"/>
        <w:rPr>
          <w:lang w:val="en-US"/>
        </w:rPr>
      </w:pPr>
      <w:r>
        <w:rPr>
          <w:rFonts w:eastAsia="Arial" w:cs="Arial"/>
          <w:color w:val="000000" w:themeColor="text1"/>
          <w:lang w:val="en-US"/>
        </w:rPr>
        <w:t xml:space="preserve">PALABRAS CLAVE: Machine learning (IEEE), Feature extraction (IEEE), Malware (IEEE), Computer security (IEEE), Artificial intelligence (UNESCO/IEEE), Explainable artificial intelligence (IEEE</w:t>
      </w:r>
      <w:r>
        <w:rPr>
          <w:rFonts w:eastAsia="Arial" w:cs="Arial"/>
          <w:color w:val="000000" w:themeColor="text1"/>
          <w:lang w:val="en-US"/>
        </w:rPr>
        <w:t xml:space="preserve">).</w:t>
      </w:r>
    </w:p>
    <w:p w14:paraId="53A150D8" w14:textId="08708E0C" w:rsidR="00B826AA" w:rsidRPr="00862105" w:rsidRDefault="00027F25" w:rsidP="00607526">
      <w:pPr>
        <w:pStyle w:val="Textoindependiente"/>
        <w:spacing w:line="276" w:lineRule="auto"/>
        <w:ind w:left="568" w:right="260"/>
        <w:jc w:val="both"/>
        <w:rPr>
          <w:rFonts w:eastAsia="Arial" w:cs="Arial"/>
          <w:color w:val="000000" w:themeColor="text1"/>
          <w:lang w:val="en-US"/>
        </w:rPr>
      </w:pPr>
      <w:r>
        <w:rPr>
          <w:rFonts w:eastAsia="Arial" w:cs="Arial"/>
          <w:color w:val="000000" w:themeColor="text1"/>
          <w:lang w:val="en-US"/>
        </w:rPr>
        <w:tab/>
      </w:r>
    </w:p>
    <w:p w14:paraId="1A44DDB0" w14:textId="2A036CF3" w:rsidR="00B826AA" w:rsidRPr="00607526" w:rsidRDefault="159AD5ED" w:rsidP="00862105">
      <w:pPr>
        <w:pStyle w:val="Normal1"/>
        <w:spacing w:line="240" w:lineRule="auto"/>
        <w:jc w:val="both"/>
        <w:rPr>
          <w:sz w:val="24"/>
          <w:szCs w:val="24"/>
          <w:lang w:val="en-US"/>
        </w:rPr>
      </w:pPr>
      <w:r>
        <w:rPr>
          <w:sz w:val="24"/>
          <w:szCs w:val="24"/>
          <w:lang w:val="en-US"/>
        </w:rPr>
        <w:t xml:space="preserve"> </w:t>
      </w:r>
    </w:p>
    <w:p w14:paraId="6C5A415E" w14:textId="77777777" w:rsidR="00B826AA" w:rsidRPr="00607526" w:rsidRDefault="00B826AA" w:rsidP="00862105">
      <w:pPr>
        <w:pStyle w:val="Normal1"/>
        <w:spacing w:line="240" w:lineRule="auto"/>
        <w:jc w:val="both"/>
        <w:rPr>
          <w:sz w:val="24"/>
          <w:szCs w:val="24"/>
          <w:lang w:val="en-US"/>
        </w:rPr>
      </w:pPr>
    </w:p>
    <w:p w14:paraId="2D76D0CA" w14:textId="236C7B2C" w:rsidR="00B826AA" w:rsidRPr="00607526" w:rsidRDefault="00B826AA" w:rsidP="00862105">
      <w:pPr>
        <w:rPr>
          <w:rFonts w:cs="Arial"/>
          <w:lang w:val="en-US"/>
        </w:rPr>
      </w:pPr>
    </w:p>
    <w:p w14:paraId="778DF07D" w14:textId="77777777" w:rsidR="00277470" w:rsidRPr="00277470" w:rsidRDefault="00277470" w:rsidP="00277470">
      <w:pPr>
        <w:jc w:val="center"/>
        <w:rPr>
          <w:rFonts w:eastAsia="Arial" w:cs="Arial"/>
          <w:b/>
          <w:color w:val="000000" w:themeColor="text1"/>
          <w:lang w:val="en-US"/>
        </w:rPr>
      </w:pPr>
      <w:r>
        <w:rPr>
          <w:rFonts w:eastAsia="Arial" w:cs="Arial"/>
          <w:b/>
          <w:color w:val="000000" w:themeColor="text1"/>
          <w:lang w:val="en-US"/>
        </w:rPr>
        <w:lastRenderedPageBreak/>
        <w:t>ABSTRACT</w:t>
      </w:r>
    </w:p>
    <w:p w14:paraId="1B4FEEE9" w14:textId="77777777" w:rsidR="00277470" w:rsidRPr="00277470" w:rsidRDefault="00277470" w:rsidP="00277470">
      <w:pPr>
        <w:rPr>
          <w:rFonts w:eastAsia="Arial" w:cs="Arial"/>
          <w:color w:val="000000" w:themeColor="text1"/>
          <w:lang w:val="en-US"/>
        </w:rPr>
      </w:pPr>
    </w:p>
    <w:p w14:paraId="21865160" w14:textId="77777777" w:rsidR="008A4316" w:rsidRDefault="008A4316" w:rsidP="008A4316">
      <w:pPr>
        <w:rPr>
          <w:rFonts w:eastAsia="Arial" w:cs="Arial"/>
          <w:color w:val="000000" w:themeColor="text1"/>
          <w:lang w:val="en-US"/>
        </w:rPr>
      </w:pPr>
      <w:r>
        <w:rPr>
          <w:rFonts w:eastAsia="Arial" w:cs="Arial"/>
          <w:color w:val="000000" w:themeColor="text1"/>
          <w:lang w:val="en-US"/>
        </w:rPr>
        <w:t xml:space="preserve">The amount and complexity of malware keep increasing: in 2025, close to 500,000 new malicious files were found each day on average, 7 % more than the year before, and techniques such as polymorphism, metamorphism and fileless malware make signature-based antivirus tools less effective. In Colombia, Law 1273 of 2009, Law 1581 of 2012 and CONPES 3995 of 2020 call for active measures to protect information; however, detection tools based on machine learning are built for specialists and work as black boxes that give no reasons for their decisions</w:t>
      </w:r>
      <w:r>
        <w:rPr>
          <w:rFonts w:eastAsia="Arial" w:cs="Arial"/>
          <w:color w:val="000000" w:themeColor="text1"/>
          <w:lang w:val="en-US"/>
        </w:rPr>
        <w:t>. This undergraduate thesis implemented an intelligent malware detection system for Windows executable files that integrates classification models, explainable artificial intelligence (XAI) and a web interface intended for users without technical training. The dataset was built from EMBER2024, the most recent public benchmark for this task (3.2 million files collected between 2023 and 2024), using its Portable Executable subset (Win32, Win64 and .NET) and the official extractor of 2,568 static features; dimensionality was reduced with an Extra Trees ranking, a correlation filter and a K vs. F1 curve with an explicit selection rule (15 features, 99.4 % reduction while keeping 95.5 % of the reference F1). Random Forest, XGBoost and a dense neural network were trained and compared with randomized hyperparameter search and cross-validation, and evaluated on a temporal test split (files newer than the training data) and on the EMBER2024 challenge set of evasive malware. The selected model (Random Forest) reached an F1 of 0.925, a recall of 0.925 and a false positive rate of 7.4 % on the temporal test set, and detected 57.3 % of the evasive malware in the challenge set; the targets of F1 ≥ 0.95 and FPR ≤ 5 % were not met, and the analysis attributes the gap mainly to the reduction to 15 features. SHAP (with LIME as a contrasting technique) and a natural-language translation layer were integrated on top of that model and deployed in a Gradio web application that analyzes the uploaded file statically and shows the verdict, the risk level, a recommendation and the factors behind the decision. The system explained 100 % of the predictions with exact fidelity and a SHAP-LIME agreement of 0.68, passed 9 of 9 functional tests and answered in less than 3.5 s per file (95th percentile) for files up to 5 MB; in the usability test with 10 participants the mean SUS score was 86.0 (target ≥ 70), although the five participants without technical training needed help to upload the file and understand the result</w:t>
      </w:r>
      <w:r>
        <w:rPr>
          <w:rFonts w:eastAsia="Arial" w:cs="Arial"/>
          <w:color w:val="000000" w:themeColor="text1"/>
          <w:highlight w:val="yellow"/>
          <w:lang w:val="en-US"/>
        </w:rPr>
      </w:r>
      <w:r>
        <w:rPr>
          <w:rFonts w:eastAsia="Arial" w:cs="Arial"/>
          <w:color w:val="000000" w:themeColor="text1"/>
          <w:lang w:val="en-US"/>
        </w:rPr>
        <w:t xml:space="preserve">. The results show that malware detection with understandable explanations can be offered to people without cybersecurity knowledge, and document the limitations of static analysis against evasive malware and temporal drift.</w:t>
      </w:r>
    </w:p>
    <w:p w14:paraId="6460E666" w14:textId="77777777" w:rsidR="008A4316" w:rsidRDefault="008A4316" w:rsidP="008A4316">
      <w:pPr>
        <w:rPr>
          <w:rFonts w:eastAsia="Arial" w:cs="Arial"/>
          <w:color w:val="000000" w:themeColor="text1"/>
          <w:lang w:val="en-US"/>
        </w:rPr>
      </w:pPr>
    </w:p>
    <w:p w14:paraId="5BBA0853" w14:textId="38EC82C1" w:rsidR="008A4316" w:rsidRPr="008A4316" w:rsidRDefault="00277470" w:rsidP="008A4316">
      <w:pPr>
        <w:rPr>
          <w:rFonts w:eastAsia="Arial" w:cs="Arial"/>
          <w:color w:val="000000" w:themeColor="text1"/>
          <w:lang w:val="en-US"/>
        </w:rPr>
      </w:pPr>
      <w:r>
        <w:rPr>
          <w:rFonts w:eastAsia="Arial" w:cs="Arial"/>
          <w:color w:val="000000" w:themeColor="text1"/>
          <w:lang w:val="en-US"/>
        </w:rPr>
        <w:t xml:space="preserve">KEYWORDS: Machine learning (IEEE), Feature extraction (IEEE), Malware (IEEE), Computer security (IEEE), Artificial intelligence (UNESCO/IEEE), Explainable artificial intelligence (IEEE).</w:t>
      </w:r>
    </w:p>
    <w:p w14:paraId="230E73D3" w14:textId="0ADE47A6" w:rsidR="72DEAB04" w:rsidRPr="00607526" w:rsidRDefault="72DEAB04" w:rsidP="00277470">
      <w:pPr>
        <w:rPr>
          <w:rFonts w:eastAsia="Arial" w:cs="Arial"/>
          <w:color w:val="000000" w:themeColor="text1"/>
          <w:lang w:val="en-US"/>
        </w:rPr>
      </w:pPr>
    </w:p>
    <w:p w14:paraId="0F8C94C7" w14:textId="53DBC292" w:rsidR="72DEAB04" w:rsidRPr="00607526" w:rsidRDefault="72DEAB04" w:rsidP="00277470">
      <w:pPr>
        <w:rPr>
          <w:rFonts w:eastAsia="Arial" w:cs="Arial"/>
          <w:lang w:val="en-US"/>
        </w:rPr>
      </w:pPr>
      <w:r>
        <w:rPr>
          <w:rFonts w:eastAsia="Arial" w:cs="Arial"/>
          <w:lang w:val="en-US"/>
        </w:rPr>
        <w:t xml:space="preserve"> </w:t>
      </w:r>
    </w:p>
    <w:p w14:paraId="3365C31E" w14:textId="43748648" w:rsidR="2957BB78" w:rsidRPr="00607526" w:rsidRDefault="2957BB78" w:rsidP="00862105">
      <w:pPr>
        <w:rPr>
          <w:rFonts w:cs="Arial"/>
          <w:lang w:val="en-US"/>
        </w:rPr>
      </w:pPr>
    </w:p>
    <w:p w14:paraId="4888B01C" w14:textId="76249CA8" w:rsidR="2957BB78" w:rsidRPr="00607526" w:rsidRDefault="2957BB78" w:rsidP="00862105">
      <w:pPr>
        <w:rPr>
          <w:rFonts w:eastAsia="Arial" w:cs="Arial"/>
          <w:lang w:val="en-US"/>
        </w:rPr>
      </w:pPr>
    </w:p>
    <w:p w14:paraId="0AB0C082" w14:textId="38466A20" w:rsidR="2957BB78" w:rsidRPr="00607526" w:rsidRDefault="2957BB78" w:rsidP="00862105">
      <w:pPr>
        <w:pStyle w:val="Normal1"/>
        <w:spacing w:line="240" w:lineRule="auto"/>
        <w:jc w:val="both"/>
        <w:rPr>
          <w:sz w:val="24"/>
          <w:szCs w:val="24"/>
          <w:lang w:val="en-US"/>
        </w:rPr>
      </w:pPr>
    </w:p>
    <w:p w14:paraId="095ACD9A" w14:textId="77777777" w:rsidR="00B826AA" w:rsidRPr="00607526" w:rsidRDefault="00B826AA" w:rsidP="00862105">
      <w:pPr>
        <w:pStyle w:val="Normal1"/>
        <w:spacing w:line="240" w:lineRule="auto"/>
        <w:jc w:val="both"/>
        <w:rPr>
          <w:sz w:val="24"/>
          <w:szCs w:val="24"/>
          <w:lang w:val="en-US"/>
        </w:rPr>
      </w:pPr>
    </w:p>
    <w:p w14:paraId="1A35F59A" w14:textId="77777777" w:rsidR="00B826AA" w:rsidRPr="00607526" w:rsidRDefault="00B826AA" w:rsidP="00862105">
      <w:pPr>
        <w:jc w:val="center"/>
        <w:rPr>
          <w:rFonts w:cs="Arial"/>
          <w:lang w:val="en-US"/>
        </w:rPr>
      </w:pPr>
    </w:p>
    <w:p w14:paraId="231BC68D" w14:textId="77777777" w:rsidR="00B826AA" w:rsidRPr="00607526" w:rsidRDefault="00BB0F5B" w:rsidP="00862105">
      <w:pPr>
        <w:rPr>
          <w:rFonts w:cs="Arial"/>
          <w:lang w:val="en-US"/>
        </w:rPr>
      </w:pPr>
      <w:r>
        <w:rPr>
          <w:rFonts w:cs="Arial"/>
          <w:lang w:val="en-US"/>
        </w:rPr>
        <w:br w:type="page"/>
      </w:r>
    </w:p>
    <w:p w14:paraId="676CD0D3" w14:textId="5757878B" w:rsidR="00B826AA" w:rsidRPr="009E5483" w:rsidRDefault="27BA9BC7" w:rsidP="009E5483">
      <w:pPr>
        <w:pStyle w:val="Ttulo1"/>
        <w:rPr>
          <w:b/>
          <w:bCs/>
        </w:rPr>
      </w:pPr>
      <w:bookmarkStart w:id="3" w:name="_Toc475112151"/>
      <w:bookmarkStart w:id="4" w:name="_Toc475115507"/>
      <w:bookmarkStart w:id="5" w:name="_Toc240146204"/>
      <w:r>
        <w:rPr>
          <w:b/>
          <w:bCs/>
        </w:rPr>
        <w:lastRenderedPageBreak/>
        <w:t>INTRODUCCIÓN</w:t>
      </w:r>
      <w:bookmarkEnd w:id="3"/>
      <w:bookmarkEnd w:id="4"/>
      <w:bookmarkEnd w:id="5"/>
    </w:p>
    <w:p w:rsidR="008A4316" w:rsidRDefault="008A4316" w:rsidP="008A4316">
      <w:pPr>
        <w:pStyle w:val="Textoindependiente"/>
        <w:ind w:left="568" w:right="371"/>
      </w:pPr>
      <w:r>
        <w:t xml:space="preserve">El avance tecnológico de los últimos años ha generado también una amenaza creciente en el mundo digital. El cibercrimen actual es cualitativamente distinto al de épocas anteriores: ya no se trata de malware que simplemente ralentizaba equipos o eliminaba archivos, sino de un ecosistema delictivo de enorme escala. Según las cifras reportadas por Kaspersky para 2025, diariamente se detectan cerca de 500.000 nuevos archivos maliciosos, lo que representa un incremento del 7 % frente al año anterior [4], [5]. </w:t>
      </w:r>
      <w:r>
        <w:t xml:space="preserve">El impacto económico también es muy grande: se calcula que el cibercrimen causó pérdidas en el mundo de 10,5 billones de dólares al año para 2025 [6].</w:t>
      </w:r>
    </w:p>
    <w:p w:rsidR="008A4316" w:rsidRDefault="008A4316" w:rsidP="008A4316">
      <w:pPr>
        <w:pStyle w:val="Textoindependiente"/>
        <w:ind w:left="568" w:right="371"/>
      </w:pPr>
      <w:r>
        <w:t xml:space="preserve">El problema se vuelve más serio si se miran las limitaciones de las herramientas de seguridad que usan las personas y las organizaciones. Los antivirus tradicionales comparan cada archivo con firmas ya registradas, por eso les cuesta detectar amenazas nuevas o versiones cambiadas a propósito [7], [8]. Por esta razón, un ataque de día cero puede seguir activo durante meses dentro de un sistema antes de que alguien lo descubra [9]. Además, quienes crean malware usan técnicas cada vez más avanzadas, como el polimorfismo y el metamorfismo, que cambian el código cada vez que se ejecuta, y el malware sin archivos, que trabaja directamente en la memoria RAM sin dejar rastro en el disco duro; así logran esquivar los métodos de detección de siempre [10].</w:t>
      </w:r>
    </w:p>
    <w:p w:rsidR="008A4316" w:rsidRDefault="008A4316" w:rsidP="008A4316">
      <w:pPr>
        <w:pStyle w:val="Textoindependiente"/>
        <w:ind w:left="568" w:right="371"/>
      </w:pPr>
      <w:r>
        <w:t xml:space="preserve">En Colombia, este problema también debe verse a la luz de las normas vigentes. La Ley 1581 de 2012 [11], la Ley 1273 de 2009 [12] y el CONPES 3995 de 2020 [13] dan reglas claras sobre protección de datos y seguridad digital. Sin embargo, en la práctica muchas veces no se aplican del todo, no tanto por falta de interés de las personas o entidades, sino porque faltan herramientas fáciles de usar que les ayuden a protegerse de verdad.</w:t>
      </w:r>
    </w:p>
    <w:p w:rsidR="008A4316" w:rsidRDefault="008A4316" w:rsidP="008A4316">
      <w:pPr>
        <w:pStyle w:val="Textoindependiente"/>
        <w:ind w:left="568" w:right="371"/>
      </w:pPr>
      <w:r>
        <w:t xml:space="preserve">Aquí es donde tiene sentido este proyecto. El aprendizaje automático ya ha mostrado mejores resultados que los métodos tradicionales para detectar amenazas [1], [14], pero casi todas las soluciones que lo usan están hechas para expertos, cuestan bastante o son difíciles de manejar para alguien que no sabe de seguridad informática. Por eso hay un vacío importante: quien solo quiere saber si un archivo es peligroso antes de abrirlo no tiene una opción adecuada a la mano. Para atender ese vacío se construyó un sistema que une modelos de machine learning con inteligencia artificial explicable y que se usa desde una página web sencilla. El proyecto trabajó con EMBER2024, el conjunto de datos público más reciente para detectar malware con análisis estático [1]; comparó Random Forest, XGBoost y una red neuronal densa, y agregó las técnicas SHAP y LIME para dar resultados fáciles de entender, que van más allá de un simple "sí" o "no". El trabajo incluyó armar el conjunto de datos, entrenar y evaluar los modelos, agregar la explicabilidad y publicar todo en una aplicación web, con metas de desempeño (F1-score ≥ 0,95 y tasa de falsos positivos ≤ 5 %), de velocidad (menos de 10 segundos por archivo) y de usabilidad (puntaje SUS ≥ 70).</w:t>
      </w:r>
    </w:p>
    <w:p w:rsidR="008A4316" w:rsidRDefault="008A4316" w:rsidP="008A4316">
      <w:pPr>
        <w:pStyle w:val="Textoindependiente"/>
        <w:ind w:left="568" w:right="371"/>
      </w:pPr>
      <w:r>
        <w:t xml:space="preserve">El documento se organiza así: el capítulo de generalidades presenta el contexto, el planteamiento del problema y la pregunta de investigación; siguen la justificación, los objetivos y los marcos de referencia (conceptual, teórico, estado del arte y jurídico); el diseño metodológico describe las tres fases del proyecto y sus indicadores de verificación; los tres capítulos siguientes desarrollan, respectivamente, la construcción del conjunto de datos (primer objetivo específico), el entrenamiento y la comparación de los modelos (segundo objetivo) y la integración de la explicabilidad y el despliegue de la interfaz con sus pruebas (tercer objetivo); finalmente se presentan las conclusiones, los trabajos futuros y la bibliografía.</w:t>
      </w:r>
    </w:p>
    <w:p w:rsidR="008A4316" w:rsidRDefault="008A4316" w:rsidP="008A4316">
      <w:pPr>
        <w:pStyle w:val="Textoindependiente"/>
        <w:ind w:left="568" w:right="371"/>
      </w:pPr>
      <w:r>
        <w:t xml:space="preserve">Respecto al impacto esperado, el proyecto trasciende el ámbito estrictamente académico al brindar a ciudadanos, pequeñas empresas e instituciones educativas en Colombia una herramienta de ciberseguridad práctica, gratuita y de código abierto, actualmente inexistente para este tipo de usuarios, junto con un repositorio reproducible que puede servir de base a nuevos trabajos de investigación.</w:t>
      </w:r>
    </w:p>
    <w:p w14:paraId="00CFEBD3" w14:textId="4B893885" w:rsidR="2957BB78" w:rsidRPr="00862105" w:rsidRDefault="2957BB78" w:rsidP="00862105">
      <w:pPr>
        <w:rPr>
          <w:rFonts w:cs="Arial"/>
          <w:color w:val="000000" w:themeColor="text1"/>
        </w:rPr>
      </w:pPr>
      <w:r>
        <w:rPr>
          <w:rFonts w:cs="Arial"/>
          <w:color w:val="000000" w:themeColor="text1"/>
        </w:rPr>
        <w:br w:type="page"/>
      </w:r>
    </w:p>
    <w:p w14:paraId="77D8326D" w14:textId="06B251D9" w:rsidR="00B826AA" w:rsidRPr="00393C66" w:rsidRDefault="7A55C4BF" w:rsidP="009E5483">
      <w:pPr>
        <w:pStyle w:val="Ttulo1"/>
        <w:ind w:left="426"/>
        <w:rPr>
          <w:rFonts w:cs="Arial"/>
          <w:b/>
          <w:caps w:val="0"/>
          <w:color w:val="000000" w:themeColor="text1"/>
        </w:rPr>
      </w:pPr>
      <w:bookmarkStart w:id="6" w:name="_Toc475112152"/>
      <w:bookmarkStart w:id="7" w:name="_Toc475115508"/>
      <w:bookmarkStart w:id="8" w:name="_Toc224625665"/>
      <w:bookmarkStart w:id="9" w:name="_Toc240146205"/>
      <w:r>
        <w:rPr>
          <w:rFonts w:cs="Arial"/>
          <w:b/>
          <w:caps w:val="0"/>
          <w:color w:val="000000" w:themeColor="text1"/>
        </w:rPr>
        <w:lastRenderedPageBreak/>
        <w:t>GENERALIDADES</w:t>
      </w:r>
      <w:bookmarkEnd w:id="6"/>
      <w:bookmarkEnd w:id="7"/>
      <w:bookmarkEnd w:id="8"/>
      <w:bookmarkEnd w:id="9"/>
    </w:p>
    <w:p w14:paraId="74384CFD" w14:textId="77777777" w:rsidR="00B826AA" w:rsidRPr="00393C66" w:rsidRDefault="00B826AA" w:rsidP="00862105">
      <w:pPr>
        <w:rPr>
          <w:rFonts w:cs="Arial"/>
          <w:b/>
          <w:color w:val="000000" w:themeColor="text1"/>
        </w:rPr>
      </w:pPr>
    </w:p>
    <w:p w14:paraId="1E3E20E4" w14:textId="07A67351" w:rsidR="005A325C" w:rsidRPr="00393C66" w:rsidRDefault="00EF05AD" w:rsidP="009E5483">
      <w:pPr>
        <w:pStyle w:val="Ttulo2"/>
      </w:pPr>
      <w:bookmarkStart w:id="10" w:name="_Toc224625666"/>
      <w:bookmarkStart w:id="11" w:name="_Toc475112155"/>
      <w:bookmarkStart w:id="12" w:name="_Toc475115511"/>
      <w:bookmarkStart w:id="13" w:name="_Toc240146206"/>
      <w:bookmarkStart w:id="14" w:name="_Toc475115510"/>
      <w:bookmarkStart w:id="15" w:name="_Toc475112154"/>
      <w:r>
        <w:rPr>
          <w:b/>
          <w:bCs/>
        </w:rPr>
        <w:t xml:space="preserve">CONTEXTO DEL PROBLEMA</w:t>
      </w:r>
      <w:bookmarkEnd w:id="10"/>
      <w:bookmarkEnd w:id="11"/>
      <w:bookmarkEnd w:id="12"/>
      <w:bookmarkEnd w:id="13"/>
    </w:p>
    <w:p w:rsidR="00AC2941" w:rsidRPr="00AC2941" w:rsidRDefault="00AC2941" w:rsidP="00AC2941">
      <w:pPr>
        <w:rPr>
          <w:rFonts w:eastAsia="Arial" w:cs="Arial"/>
          <w:color w:val="000000" w:themeColor="text1"/>
        </w:rPr>
      </w:pPr>
      <w:r>
        <w:t xml:space="preserve">A nivel mundial, la cantidad de amenazas sigue aumentando. Además del medio millón de archivos maliciosos que se detectaron cada día en 2025 [4], los informes de inteligencia de amenazas muestran un mundo criminal organizado en torno al ransomware, el robo de credenciales y el espionaje, con campañas que usan cada vez más herramientas automáticas e incluso inteligencia artificial [15]-[17]. Hace algunas décadas el malware eran programas simples que borraban archivos o ponían lento un computador; hoy es un negocio dedicado a extorsionar, robar información y dañar infraestructuras críticas.</w:t>
      </w:r>
    </w:p>
    <w:p w:rsidR="00AC2941" w:rsidRPr="00AC2941" w:rsidRDefault="00AC2941" w:rsidP="00AC2941">
      <w:pPr>
        <w:rPr>
          <w:rFonts w:eastAsia="Arial" w:cs="Arial"/>
          <w:color w:val="000000" w:themeColor="text1"/>
        </w:rPr>
      </w:pPr>
      <w:r>
        <w:t xml:space="preserve">América Latina se ha vuelto un blanco atractivo para los atacantes. Según Kaspersky, en 2025 las detecciones de spyware en la región subieron un 64 % y los programas hechos para robar contraseñas siguieron creciendo [5], [18]; por eso, las instituciones latinoamericanas son atacadas con frecuencia para robarles propiedad intelectual y datos sensibles.</w:t>
      </w:r>
    </w:p>
    <w:p w:rsidR="00AC2941" w:rsidRPr="00AC2941" w:rsidRDefault="00AC2941" w:rsidP="00AC2941">
      <w:pPr>
        <w:rPr>
          <w:rFonts w:eastAsia="Arial" w:cs="Arial"/>
          <w:color w:val="000000" w:themeColor="text1"/>
        </w:rPr>
      </w:pPr>
      <w:r>
        <w:t xml:space="preserve">Colombia también vive este problema. Según Fortinet, en 2024 hubo 36.000 millones de intentos de ciberataque en el país [19], y Colombia recibe cerca del 17 % de los ciberataques de toda la región [20].</w:t>
      </w:r>
      <w:r>
        <w:t xml:space="preserve"> El sector financiero, a través del CSIRT de Asobancaria, documenta año tras año incidentes basados en malware [21], y el Ministerio de Tecnologías de la Información y las Comunicaciones ha publicado análisis técnicos de campañas activas en el país, como la del troyano de acceso remoto AsyncRAT [22]. </w:t>
      </w:r>
      <w:r>
        <w:t xml:space="preserve">En 2024, la Universidad Católica de Colombia comparó el aumento de los ciberataques con una segunda pandemia y explicó que la falta de personal técnico especializado y el uso de sistemas antiguos ayudan a que el malware tenga éxito [23], [24]; de forma parecida, la Cámara de Comercio de Bogotá alerta que las pymes están muy expuestas porque les faltan herramientas y conocimientos en ciberseguridad [25].</w:t>
      </w:r>
    </w:p>
    <w:p w:rsidR="00AC2941" w:rsidRPr="00AC2941" w:rsidRDefault="00AC2941" w:rsidP="00AC2941">
      <w:pPr>
        <w:rPr>
          <w:rFonts w:eastAsia="Arial" w:cs="Arial"/>
          <w:color w:val="000000" w:themeColor="text1"/>
        </w:rPr>
      </w:pPr>
      <w:r>
        <w:t xml:space="preserve">El sector educativo merece atención especial, porque reúne a muchos usuarios sin formación técnica, maneja información personal sensible y tiene poco presupuesto. Los informes de Sophos sobre ransomware en educación indican que colegios y universidades siguen estando entre los más atacados, aunque ahora se recuperan mejor [26], [27]; otros análisis recientes explican las amenazas más comunes que enfrentan [28]-[30], y aunque en 2025 la cantidad de ataques a escuelas dejó de crecer, sí aumentó el número de registros expuestos [31]. Todo esto muestra que se necesitan herramientas de protección fáciles de usar para las instituciones y personas que no tienen un equipo de seguridad [32], [33].</w:t>
      </w:r>
    </w:p>
    <w:p w:rsidR="00AC2941" w:rsidRPr="00AC2941" w:rsidRDefault="00AC2941" w:rsidP="00AC2941">
      <w:pPr>
        <w:rPr>
          <w:rFonts w:eastAsia="Arial" w:cs="Arial"/>
          <w:color w:val="000000" w:themeColor="text1"/>
        </w:rPr>
      </w:pPr>
      <w:r>
        <w:t xml:space="preserve">Ante esta situación, el aprendizaje automático aparece como una opción técnicamente más sólida. A diferencia de los sistemas que usan firmas, los modelos de machine learning aprenden patrones de estructura y de comportamiento a partir de millones de ejemplos, y así pueden reconocer amenazas nuevas o modificadas; en conjuntos de datos públicos como EMBER, los clasificadores de referencia pasan de un AUC-ROC de 0,99 [1], [14]. El problema es que estas herramientas casi no están al alcance del usuario común: fueron pensadas sobre todo para expertos, sus interfaces son difíciles de usar, sus resultados cuesta entenderlos sin formación técnica y, por lo general, funcionan como cajas negras que no explican por qué tomaron cada decisión [34]. Este proyecto se propone, a escala local, como una herramienta de libre acceso para cualquier persona sin conocimientos técnicos en ciberseguridad, teniendo en cuenta las condiciones de acceso a la tecnología de países en desarrollo como Colombia.</w:t>
      </w:r>
    </w:p>
    <w:p w14:paraId="33F72016" w14:textId="2EE03745" w:rsidR="008A4316" w:rsidRDefault="00C8139A" w:rsidP="008A4316">
      <w:pPr>
        <w:pStyle w:val="Ttulo2"/>
        <w:rPr>
          <w:rFonts w:cs="Arial"/>
          <w:b/>
          <w:caps w:val="0"/>
          <w:color w:val="000000" w:themeColor="text1"/>
        </w:rPr>
      </w:pPr>
      <w:bookmarkStart w:id="16" w:name="_Toc240146207"/>
      <w:r>
        <w:rPr>
          <w:rFonts w:cs="Arial"/>
          <w:b/>
          <w:caps w:val="0"/>
          <w:color w:val="000000" w:themeColor="text1"/>
        </w:rPr>
        <w:t>PLANTEAMIENTO DEL PROBLEMA</w:t>
      </w:r>
      <w:bookmarkEnd w:id="14"/>
      <w:bookmarkEnd w:id="15"/>
      <w:bookmarkEnd w:id="16"/>
    </w:p>
    <w:p w:rsidR="008A4316" w:rsidRDefault="008A4316" w:rsidP="008A4316">
      <w:pPr>
        <w:pStyle w:val="Textoindependiente"/>
        <w:ind w:left="568" w:right="371"/>
      </w:pPr>
      <w:r>
        <w:t xml:space="preserve">El malware ya no es una amenaza menor: hoy es uno de los problemas más complejos del crimen digital. Los datos muestran lo grande que es: en 2025 se encontraron cerca de 500.000 archivos maliciosos nuevos cada día, un 7 % más que el año anterior [4], y se calcula que el cibercrimen genera pérdidas en el mundo de 10,5 billones de dólares al año [6], más que el PIB de casi todos los países. Estas cifras son de 2024-2025 y muestran una tendencia que sigue subiendo; no es un aumento pasajero. En Colombia, los 36.000 millones de intentos de ciberataque de 2024 [19] confirman que el problema también es local, y el riesgo crece porque cada vez se usan más dispositivos personales y pocos usuarios sin formación técnica cuentan con herramientas de ciberseguridad.</w:t>
      </w:r>
    </w:p>
    <w:p w:rsidR="008A4316" w:rsidRDefault="008A4316" w:rsidP="008A4316">
      <w:pPr>
        <w:pStyle w:val="Textoindependiente"/>
        <w:ind w:left="568" w:right="371"/>
      </w:pPr>
      <w:r>
        <w:t xml:space="preserve">Se podría pensar que las herramientas de seguridad han avanzado al mismo ritmo que las amenazas, pero no es así. Muchos sistemas de protección todavía detectan con firmas digitales, es decir, comparan los archivos sospechosos con una base de datos de amenazas ya conocidas [8]. La falla de fondo es clara: cualquier variante maliciosa que no esté en esa base puede pasar sin ser detectada [7]. En pocas palabras, es un método que reacciona a lo que ya se conoce, pero no puede adelantarse a amenazas nuevas. Esto es aún más grave con los ataques de día cero, que aprovechan fallas que todavía nadie ha documentado y pueden quedarse meses dentro de una red sin que los antivirus tradicionales los noten [9], [35].</w:t>
      </w:r>
    </w:p>
    <w:p w:rsidR="008A4316" w:rsidRDefault="008A4316" w:rsidP="008A4316">
      <w:pPr>
        <w:pStyle w:val="Textoindependiente"/>
        <w:ind w:left="568" w:right="371"/>
      </w:pPr>
      <w:r>
        <w:t xml:space="preserve">Los creadores de malware conocen muy bien estas debilidades y las aprovechan una y otra vez. Con el polimorfismo y el metamorfismo, el código malicioso cambia su estructura cada vez que se ejecuta: sigue haciendo lo mismo, pero se ve lo bastante distinto para no coincidir con las firmas registradas [10]. A esto se suma el malware sin archivos, que es muy difícil de rastrear porque se ejecuta directamente en la memoria RAM y no deja ningún registro en el disco, así que los métodos de detección tradicionales casi no pueden verlo. EMBER2024 muestra bien el tamaño del problema: de los 3,2 millones de archivos reunidos entre septiembre de 2023 y diciembre de 2024, hubo 6.315 archivos maliciosos que ninguno de los motores antivirus de VirusTotal detectó en su primer análisis [1].</w:t>
      </w:r>
    </w:p>
    <w:p w:rsidR="008A4316" w:rsidRDefault="008A4316" w:rsidP="008A4316">
      <w:pPr>
        <w:pStyle w:val="Textoindependiente"/>
        <w:ind w:left="568" w:right="371"/>
      </w:pPr>
      <w:r>
        <w:t xml:space="preserve">Como ya se explicó, el aprendizaje automático supera a las firmas porque busca patrones en grandes cantidades de datos, y así puede reconocer amenazas nuevas o modificadas, con un AUC-ROC de más del 99 % en conjuntos de referencia [1]. Pero estas soluciones se pensaron para expertos: sus pantallas son difíciles de usar y sus resultados casi no se entienden sin formación técnica. Por eso, en la práctica, una persona que no sabe de ciberseguridad no tiene una herramienta confiable para revisar si un archivo es seguro antes de abrirlo.</w:t>
      </w:r>
    </w:p>
    <w:p w:rsidR="008A4316" w:rsidRDefault="008A4316" w:rsidP="008A4316">
      <w:pPr>
        <w:pStyle w:val="Textoindependiente"/>
        <w:ind w:left="568" w:right="371"/>
      </w:pPr>
      <w:r>
        <w:t xml:space="preserve">Aunque se resuelva el problema del acceso, queda otro de fondo: la explicabilidad. Los modelos más precisos suelen funcionar como cajas negras, porque dan una predicción sin explicar de forma clara cómo llegaron a ella [34], [36]. Cuando un error puede poner en riesgo información sensible o dañar sistemas completos, no basta con saber el resultado; también hay que entender por qué se tomó esa decisión. Si una advertencia no viene con razones, es difícil que la gente la tome en serio, y una herramienta en la que el usuario no confía termina abandonada, sin importar qué tan bien funcione técnicamente.</w:t>
      </w:r>
    </w:p>
    <w:p w:rsidR="008A4316" w:rsidRDefault="008A4316" w:rsidP="008A4316">
      <w:pPr>
        <w:pStyle w:val="Textoindependiente"/>
        <w:ind w:left="568" w:right="371"/>
      </w:pPr>
      <w:r>
        <w:t xml:space="preserve">Dado el carácter dinámico del malware, particularmente su capacidad de evolucionar mediante técnicas de polimorfismo y metamorfismo, la literatura recomienda evaluar los clasificadores con particiones temporales, de modo que los datos de prueba sean posteriores a los de entrenamiento [37], [38]; por la misma razón, se estima que la vigencia de la solución propuesta se extiende a un horizonte de 2 a 3 años, periodo tras el cual sería necesario un reentrenamiento del modelo con nuevas muestras para mantener su efectividad frente a amenazas emergentes.</w:t>
      </w:r>
    </w:p>
    <w:p>
      <w:pPr>
        <w:pStyle w:val="Ttulo3"/>
      </w:pPr>
      <w:r>
        <w:t xml:space="preserve">Pregunta de investigación</w:t>
      </w:r>
    </w:p>
    <w:p w:rsidR="008A4316" w:rsidRDefault="008A4316" w:rsidP="008A4316">
      <w:pPr>
        <w:pStyle w:val="Textoindependiente"/>
        <w:ind w:left="568" w:right="371"/>
      </w:pPr>
      <w:r>
        <w:t xml:space="preserve">A partir del problema descrito, el proyecto responde a la siguiente pregunta de investigación: </w:t>
      </w:r>
      <w:r>
        <w:rPr>
          <w:b/>
          <w:bCs/>
        </w:rPr>
        <w:t xml:space="preserve">¿Cómo implementar un sistema inteligente de detección de malware en archivos ejecutables de Windows que, mediante técnicas de machine learning entrenadas con datos públicos recientes e inteligencia artificial explicable, alcance un desempeño competitivo (F1-score ≥ 0,95 y tasa de falsos positivos ≤ 5 %) y presente sus decisiones de forma comprensible para usuarios sin formación técnica, en el contexto de la seguridad digital colombiana?</w:t>
      </w:r>
    </w:p>
    <w:p w:rsidR="008A4316" w:rsidRDefault="008A4316" w:rsidP="008A4316">
      <w:pPr>
        <w:pStyle w:val="Textoindependiente"/>
        <w:ind w:left="568" w:right="371"/>
      </w:pPr>
      <w:r>
        <w:t xml:space="preserve">La pregunta se descompone en tres interrogantes operativas que corresponden a los objetivos específicos: (1) qué características estáticas de un ejecutable son suficientes para distinguir archivos maliciosos de benignos sin sacrificar desempeño; (2) cuál de los algoritmos de clasificación evaluados ofrece el mejor equilibrio entre detección, falsos positivos y tiempo de respuesta cuando se prueba con archivos posteriores a los de entrenamiento y con malware evasivo; y (3) cómo traducir la salida del modelo en explicaciones que una persona sin formación técnica entienda y considere útiles.</w:t>
      </w:r>
    </w:p>
    <w:p w14:paraId="22037F4F" w14:textId="1E1DF920" w:rsidR="00B826AA" w:rsidRPr="009E5483" w:rsidRDefault="7A55C4BF" w:rsidP="009E5483">
      <w:pPr>
        <w:pStyle w:val="Ttulo1"/>
        <w:jc w:val="left"/>
        <w:rPr>
          <w:b/>
          <w:bCs/>
        </w:rPr>
      </w:pPr>
      <w:bookmarkStart w:id="17" w:name="_Toc475112158"/>
      <w:bookmarkStart w:id="18" w:name="_Toc475115514"/>
      <w:bookmarkStart w:id="19" w:name="_Toc240146208"/>
      <w:r>
        <w:rPr>
          <w:b/>
          <w:bCs/>
        </w:rPr>
        <w:t>JUSTIFICACIÓN</w:t>
      </w:r>
      <w:bookmarkEnd w:id="17"/>
      <w:bookmarkEnd w:id="18"/>
      <w:bookmarkEnd w:id="19"/>
    </w:p>
    <w:p w:rsidR="008A4316" w:rsidRDefault="008A4316" w:rsidP="008A4316">
      <w:pPr>
        <w:pStyle w:val="Textoindependiente"/>
        <w:ind w:left="568" w:right="371"/>
      </w:pPr>
      <w:r>
        <w:t xml:space="preserve">El proyecto no surge en un vacío. Existe en Colombia un conjunto de normas que obligan a personas y organizaciones a proteger la información que manejan, y ese marco legal es, en buena medida, lo que le da sentido a esta propuesta.</w:t>
      </w:r>
    </w:p>
    <w:p w:rsidR="008A4316" w:rsidRDefault="008A4316" w:rsidP="008A4316">
      <w:pPr>
        <w:pStyle w:val="Textoindependiente"/>
        <w:ind w:left="568" w:right="371"/>
      </w:pPr>
      <w:r>
        <w:t xml:space="preserve">La Ley 1581 de 2012 y el Decreto 1377 de 2013 son claros al respecto: quien trate datos personales debe aplicar medidas técnicas y administrativas para evitar accesos no autorizados [11], [39]. El malware es, precisamente, uno de los medios más comunes a través de los cuales ocurren esas intrusiones. Tener una herramienta que lo detecte a tiempo no es un extra, es cumplir con lo que la ley ya exige.</w:t>
      </w:r>
    </w:p>
    <w:p w:rsidR="008A4316" w:rsidRDefault="008A4316" w:rsidP="008A4316">
      <w:pPr>
        <w:pStyle w:val="Textoindependiente"/>
        <w:ind w:left="568" w:right="371"/>
      </w:pPr>
      <w:r>
        <w:t xml:space="preserve">El CONPES 3995 de 2020 va en la misma dirección. Reconoce que el malware es una amenaza real para la economía digital del país y plantea la necesidad de fortalecer las capacidades para enfrentarlo [13]. Lo que vale la pena resaltar es que no habla solo de grandes empresas o del sector público, sino de cualquier ciudadano. Este proyecto apunta exactamente a ese público, en línea con la Estrategia Nacional de Seguridad Digital promovida por el MinTIC [40].</w:t>
      </w:r>
    </w:p>
    <w:p w:rsidR="008A4316" w:rsidRDefault="008A4316" w:rsidP="008A4316">
      <w:pPr>
        <w:pStyle w:val="Textoindependiente"/>
        <w:ind w:left="568" w:right="371"/>
      </w:pPr>
      <w:r>
        <w:t xml:space="preserve">Por su parte, la Ley 1273 de 2009 incorporó al Código Penal delitos como el acceso ilegal a sistemas, el daño informático y la interceptación de datos, muchos de ellos cometidos mediante software malicioso [12]. </w:t>
      </w:r>
      <w:r>
        <w:t xml:space="preserve">Castigar estas conductas es necesario, pero no alcanza</w:t>
      </w:r>
      <w:r>
        <w:t xml:space="preserve">. La sanción actúa después del daño; la prevención, antes.</w:t>
      </w:r>
    </w:p>
    <w:p w:rsidR="008A4316" w:rsidRDefault="008A4316" w:rsidP="008A4316">
      <w:pPr>
        <w:pStyle w:val="Textoindependiente"/>
        <w:ind w:left="568" w:right="371"/>
      </w:pPr>
      <w:r>
        <w:t xml:space="preserve">En la academia el problema es otro, pero pesa igual. Existen buenas investigaciones sobre detección de malware con machine learning [10], [41], pero casi ninguna llega a usuarios reales porque se diseñaron para expertos, y los estudios sobre explicabilidad se enfocan en el analista de seguridad y no en el usuario final [34]. Poner un modelo que explica sus decisiones dentro de una aplicación web sencilla es una manera concreta de reducir esa distancia, sobre todo para personas, pequeñas empresas e instituciones educativas de Colombia [25].</w:t>
      </w:r>
    </w:p>
    <w:p>
      <w:pPr>
        <w:pStyle w:val="Ttulo3"/>
      </w:pPr>
      <w:r>
        <w:t xml:space="preserve">Impacto esperado</w:t>
      </w:r>
    </w:p>
    <w:p w:rsidR="008A4316" w:rsidRDefault="008A4316" w:rsidP="008A4316">
      <w:pPr>
        <w:pStyle w:val="Textoindependiente"/>
        <w:ind w:left="568" w:right="371"/>
      </w:pPr>
      <w:r>
        <w:t xml:space="preserve">El impacto del proyecto se puede ver y medir en cuatro dimensiones. En lo </w:t>
      </w:r>
      <w:r>
        <w:rPr>
          <w:b/>
          <w:bCs/>
        </w:rPr>
        <w:t xml:space="preserve">social</w:t>
      </w:r>
      <w:r>
        <w:t xml:space="preserve">, la herramienta está pensada para personas que hoy no tienen opciones: cualquiera con un navegador puede revisar un archivo antes de abrirlo, sin instalar programas ni entender métricas; en un país que recibe cerca del 17 % de los ciberataques de la región [20] y que tuvo 36.000 millones de intentos de ataque en 2024 [19], bajar la probabilidad de que alguien abra un archivo malicioso ayuda directamente a proteger los datos personales, como lo pide la Ley 1581 de 2012. En lo </w:t>
      </w:r>
      <w:r>
        <w:rPr>
          <w:b/>
          <w:bCs/>
        </w:rPr>
        <w:t xml:space="preserve">económico</w:t>
      </w:r>
      <w:r>
        <w:t>, el sistema es gratis y de código abierto, mientras que las soluciones comerciales para analizar archivos cobran licencias; para pymes e instituciones educativas, que muchas veces no tienen personal de seguridad [25], [26], un análisis que tarda menos de un segundo en un archivo de 1 MB (2,5 s en uno de 5 MB) y que detecta el 92,5 % del malware de la prueba temporal reemplaza la revisión manual de un experto, que por cada incidente cuesta muchísimo más (varios órdenes de magnitud)</w:t>
      </w:r>
      <w:r>
        <w:t xml:space="preserve">. En lo </w:t>
      </w:r>
      <w:r>
        <w:rPr>
          <w:b/>
          <w:bCs/>
        </w:rPr>
        <w:t xml:space="preserve">tecnológico</w:t>
      </w:r>
      <w:r>
        <w:t xml:space="preserve">, el proyecto aporta un pipeline reproducible sobre EMBER2024 (el conjunto de datos más reciente de su tipo) con 15 características en lugar de 2.568, lo que reduce el costo de extracción y de inferencia y permite ejecutar el sistema en hardware modesto, además de una evaluación con malware evasivo y con particiones temporales que rara vez se reporta en trabajos de pregrado. En lo </w:t>
      </w:r>
      <w:r>
        <w:rPr>
          <w:b/>
          <w:bCs/>
        </w:rPr>
        <w:t xml:space="preserve">académico y cultural</w:t>
      </w:r>
      <w:r>
        <w:t>, el sistema explica cada decisión en lenguaje natural, lo que contribuye a la alfabetización en ciberseguridad de sus usuarios: la prueba de usabilidad incluye una pregunta sobre si el participante entendió por qué el archivo fue clasificado como se hizo (9 de los 10 participantes respondieron que sí y uno que parcialmente)</w:t>
      </w:r>
      <w:r>
        <w:rPr>
          <w:highlight w:val="yellow"/>
        </w:rPr>
      </w:r>
      <w:r>
        <w:t>.</w:t>
      </w:r>
    </w:p>
    <w:p w14:paraId="71800A6E" w14:textId="03955EF8" w:rsidR="00B826AA" w:rsidRPr="00EF05AD" w:rsidRDefault="7A55C4BF" w:rsidP="00862105">
      <w:pPr>
        <w:pStyle w:val="Ttulo1"/>
        <w:jc w:val="both"/>
        <w:rPr>
          <w:rFonts w:cs="Arial"/>
          <w:b/>
          <w:color w:val="000000" w:themeColor="text1"/>
        </w:rPr>
      </w:pPr>
      <w:bookmarkStart w:id="20" w:name="_Toc475115516"/>
      <w:bookmarkStart w:id="21" w:name="_Toc475112160"/>
      <w:bookmarkStart w:id="22" w:name="_Toc240146209"/>
      <w:r>
        <w:rPr>
          <w:rFonts w:cs="Arial"/>
          <w:b/>
          <w:caps w:val="0"/>
          <w:color w:val="000000" w:themeColor="text1"/>
        </w:rPr>
        <w:t>OBJETIVOS</w:t>
      </w:r>
      <w:bookmarkEnd w:id="20"/>
      <w:bookmarkEnd w:id="21"/>
      <w:bookmarkEnd w:id="22"/>
    </w:p>
    <w:p w14:paraId="177082DB" w14:textId="77777777" w:rsidR="00B826AA" w:rsidRPr="00862105" w:rsidRDefault="00B826AA" w:rsidP="00862105">
      <w:pPr>
        <w:rPr>
          <w:rFonts w:cs="Arial"/>
          <w:color w:val="000000" w:themeColor="text1"/>
        </w:rPr>
      </w:pPr>
    </w:p>
    <w:p w14:paraId="1FB815E8" w14:textId="21FD6F50" w:rsidR="00BB0F5B" w:rsidRPr="009E5483" w:rsidRDefault="005D693C" w:rsidP="009E5483">
      <w:pPr>
        <w:pStyle w:val="Ttulo2"/>
        <w:jc w:val="left"/>
        <w:rPr>
          <w:b/>
          <w:bCs/>
        </w:rPr>
      </w:pPr>
      <w:bookmarkStart w:id="23" w:name="_Toc475112161"/>
      <w:bookmarkStart w:id="24" w:name="_Toc475115517"/>
      <w:bookmarkStart w:id="25" w:name="_Toc240146210"/>
      <w:r>
        <w:rPr>
          <w:b/>
          <w:bCs/>
        </w:rPr>
        <w:t>Objetivo General</w:t>
      </w:r>
      <w:bookmarkEnd w:id="23"/>
      <w:bookmarkEnd w:id="24"/>
      <w:r>
        <w:rPr>
          <w:b/>
          <w:bCs/>
        </w:rPr>
        <w:t>.</w:t>
      </w:r>
      <w:bookmarkEnd w:id="25"/>
      <w:r>
        <w:rPr>
          <w:b/>
          <w:bCs/>
        </w:rPr>
        <w:t xml:space="preserve">  </w:t>
      </w:r>
    </w:p>
    <w:p w14:paraId="75B18C92" w14:textId="77777777" w:rsidR="00AC2941" w:rsidRPr="00AC2941" w:rsidRDefault="00AC2941" w:rsidP="00AC2941">
      <w:pPr>
        <w:rPr>
          <w:rFonts w:cs="Arial"/>
          <w:color w:val="000000" w:themeColor="text1"/>
          <w:lang w:val="es-ES"/>
        </w:rPr>
      </w:pPr>
      <w:r>
        <w:rPr>
          <w:rFonts w:cs="Arial"/>
          <w:color w:val="000000" w:themeColor="text1"/>
          <w:lang w:val="es-ES"/>
        </w:rPr>
        <w:t xml:space="preserve">Implementar un sistema inteligente basado en técnicas de Machine Learning para detectar malware en archivos, mediante el entrenamiento de modelos de clasificación e integración de inteligencia artificial explicable (XAI), desplegado en una interfaz interactiva que presente los resultados de forma comprensible para cualquier usuario.</w:t>
      </w:r>
    </w:p>
    <w:p w14:paraId="717B090B" w14:textId="5BB21E76" w:rsidR="33E009FB" w:rsidRPr="00AC2941" w:rsidRDefault="33E009FB" w:rsidP="00862105">
      <w:pPr>
        <w:rPr>
          <w:rFonts w:cs="Arial"/>
          <w:color w:val="000000" w:themeColor="text1"/>
          <w:lang w:val="es-ES"/>
        </w:rPr>
      </w:pPr>
    </w:p>
    <w:p w14:paraId="42644F1D" w14:textId="4DEABC1A" w:rsidR="00B826AA" w:rsidRPr="009E5483" w:rsidRDefault="005D693C" w:rsidP="009E5483">
      <w:pPr>
        <w:pStyle w:val="Ttulo2"/>
        <w:rPr>
          <w:rFonts w:eastAsia="Arial" w:cs="Arial"/>
          <w:b/>
          <w:bCs/>
          <w:color w:val="000000" w:themeColor="text1"/>
        </w:rPr>
      </w:pPr>
      <w:bookmarkStart w:id="26" w:name="_Toc475112162"/>
      <w:bookmarkStart w:id="27" w:name="_Toc475115518"/>
      <w:bookmarkStart w:id="28" w:name="_Toc240146211"/>
      <w:r>
        <w:rPr>
          <w:b/>
          <w:bCs/>
        </w:rPr>
        <w:t>Objetivos Específicos</w:t>
      </w:r>
      <w:bookmarkEnd w:id="26"/>
      <w:bookmarkEnd w:id="27"/>
      <w:r>
        <w:rPr>
          <w:b/>
          <w:bCs/>
        </w:rPr>
        <w:t>.</w:t>
      </w:r>
      <w:bookmarkEnd w:id="28"/>
      <w:r>
        <w:rPr>
          <w:b/>
          <w:bCs/>
        </w:rPr>
        <w:t xml:space="preserve"> </w:t>
      </w:r>
    </w:p>
    <w:p w14:paraId="65C551C3" w14:textId="77777777" w:rsidR="00AC2941" w:rsidRDefault="00AC2941" w:rsidP="00AC2941"/>
    <w:p w14:paraId="6AC7ABA7" w14:textId="77777777" w:rsidR="004C57A9" w:rsidRPr="004C57A9" w:rsidRDefault="004C57A9" w:rsidP="00632D54">
      <w:pPr>
        <w:pStyle w:val="Prrafodelista"/>
        <w:numPr>
          <w:ilvl w:val="0"/>
          <w:numId w:val="48"/>
        </w:numPr>
      </w:pPr>
      <w:r>
        <w:t xml:space="preserve">Preparar el conjunto de datos existente de archivos maliciosos y benignos mediante su limpieza, la selección de características relevantes y la reducción de dimensionalidad, para contar con una base adecuada de entrenamiento.</w:t>
      </w:r>
    </w:p>
    <w:p w14:paraId="091117F0" w14:textId="77777777" w:rsidR="004C57A9" w:rsidRPr="004C57A9" w:rsidRDefault="004C57A9" w:rsidP="00632D54">
      <w:pPr>
        <w:pStyle w:val="Prrafodelista"/>
        <w:numPr>
          <w:ilvl w:val="0"/>
          <w:numId w:val="48"/>
        </w:numPr>
      </w:pPr>
      <w:r>
        <w:t xml:space="preserve">Desarrollar un sistema de clasificación de archivos maliciosos y benignos mediante el entrenamiento y la comparación de modelos de Machine Learning, y la selección de la configuración con mejor desempeño según métricas de evaluación.</w:t>
      </w:r>
    </w:p>
    <w:p w14:paraId="6FD005CF" w14:textId="77777777" w:rsidR="004C57A9" w:rsidRPr="004C57A9" w:rsidRDefault="004C57A9" w:rsidP="00632D54">
      <w:pPr>
        <w:pStyle w:val="Prrafodelista"/>
        <w:numPr>
          <w:ilvl w:val="0"/>
          <w:numId w:val="48"/>
        </w:numPr>
      </w:pPr>
      <w:r>
        <w:t>Desplegar el sistema en una interfaz interactiva, mediante la integración del modelo seleccionado y de XAI para la explicación de las predicciones, con una presentación comprensible de los resultados para cualquier usuario.</w:t>
      </w:r>
    </w:p>
    <w:p w14:paraId="174F9559" w14:textId="77777777" w:rsidR="00AC2941" w:rsidRDefault="00AC2941" w:rsidP="00AC2941"/>
    <w:p w14:paraId="51BE3152" w14:textId="77777777" w:rsidR="001224EF" w:rsidRDefault="001224EF" w:rsidP="00AC2941"/>
    <w:p w14:paraId="5858A6DF" w14:textId="32895B36" w:rsidR="001224EF" w:rsidRPr="004C57A9" w:rsidRDefault="001224EF" w:rsidP="00AC2941">
      <w:r>
        <w:t xml:space="preserve"> </w:t>
        <w:tab/>
      </w:r>
    </w:p>
    <w:p w14:paraId="1CB43F7B" w14:textId="5A8AC464" w:rsidR="00B826AA" w:rsidRPr="009E5483" w:rsidRDefault="005D693C" w:rsidP="009E5483">
      <w:pPr>
        <w:pStyle w:val="Ttulo1"/>
        <w:jc w:val="left"/>
        <w:rPr>
          <w:b/>
          <w:bCs/>
        </w:rPr>
      </w:pPr>
      <w:bookmarkStart w:id="29" w:name="_Toc475115521"/>
      <w:bookmarkStart w:id="30" w:name="_Toc475112165"/>
      <w:bookmarkStart w:id="31" w:name="_Toc240146212"/>
      <w:r>
        <w:rPr>
          <w:b/>
          <w:bCs/>
        </w:rPr>
        <w:lastRenderedPageBreak/>
        <w:t>MARCOS DE REFERENCIA</w:t>
      </w:r>
      <w:bookmarkEnd w:id="29"/>
      <w:bookmarkEnd w:id="30"/>
      <w:bookmarkEnd w:id="31"/>
    </w:p>
    <w:p w14:paraId="6A77B327" w14:textId="77777777" w:rsidR="00B826AA" w:rsidRPr="00862105" w:rsidRDefault="00B826AA" w:rsidP="00862105">
      <w:pPr>
        <w:rPr>
          <w:rFonts w:eastAsia="Arial" w:cs="Arial"/>
          <w:color w:val="000000" w:themeColor="text1"/>
        </w:rPr>
      </w:pPr>
    </w:p>
    <w:p w14:paraId="3B3B7579" w14:textId="77777777" w:rsidR="00AC2941" w:rsidRPr="00862105" w:rsidRDefault="00AC2941" w:rsidP="00862105">
      <w:pPr>
        <w:rPr>
          <w:rFonts w:cs="Arial"/>
          <w:color w:val="000000" w:themeColor="text1"/>
        </w:rPr>
      </w:pPr>
    </w:p>
    <w:p w14:paraId="7AE11773" w14:textId="08DDD5DE" w:rsidR="00B826AA" w:rsidRPr="009E5483" w:rsidRDefault="00786395" w:rsidP="009E5483">
      <w:pPr>
        <w:pStyle w:val="Ttulo2"/>
        <w:rPr>
          <w:b/>
          <w:bCs/>
        </w:rPr>
      </w:pPr>
      <w:bookmarkStart w:id="32" w:name="_Toc475112166"/>
      <w:bookmarkStart w:id="33" w:name="_Toc475115522"/>
      <w:bookmarkStart w:id="34" w:name="_Toc240146213"/>
      <w:r>
        <w:rPr>
          <w:b/>
          <w:bCs/>
        </w:rPr>
        <w:t>Marco Conceptual</w:t>
      </w:r>
      <w:bookmarkEnd w:id="32"/>
      <w:bookmarkEnd w:id="33"/>
      <w:r>
        <w:rPr>
          <w:b/>
          <w:bCs/>
        </w:rPr>
        <w:t>.</w:t>
      </w:r>
      <w:bookmarkEnd w:id="34"/>
      <w:r>
        <w:rPr>
          <w:b/>
          <w:bCs/>
        </w:rPr>
        <w:t xml:space="preserve">   </w:t>
      </w:r>
    </w:p>
    <w:p w:rsidR="008A4316" w:rsidRDefault="008A4316" w:rsidP="008A4316">
      <w:pPr>
        <w:pStyle w:val="Textoindependiente"/>
        <w:ind w:left="568" w:right="371"/>
      </w:pPr>
      <w:r>
        <w:t xml:space="preserve">El punto de partida conceptual de este proyecto es la noción de malware, entendido como cualquier software diseñado con el propósito de dañar, infiltrar o comprometer sistemas informáticos sin el consentimiento del usuario [42]. Dentro de esta categoría se encuentran distintos tipos de software malicioso: virus, troyanos, ransomware, spyware y gusanos, entre los más representativos. Por décadas, el método predominante para su detección fue el análisis por firmas digitales, es decir, patrones únicos extraídos a partir de muestras de código malicioso previamente estudiadas [43].</w:t>
      </w:r>
    </w:p>
    <w:p w:rsidR="008A4316" w:rsidRDefault="008A4316" w:rsidP="008A4316">
      <w:pPr>
        <w:pStyle w:val="Textoindependiente"/>
        <w:ind w:left="568" w:right="371"/>
      </w:pPr>
      <w:r>
        <w:t xml:space="preserve">Durante años, los antivirus tradicionales trabajaron comparando: revisaban cada archivo contra una base de datos de amenazas conocidas y marcaban como peligroso todo lo que coincidiera. Este método funcionó bien al principio, pero tenía un límite de fondo difícil de superar: solo podía detectar lo que ya se había identificado y registrado antes [7]. Con el tiempo, el malware se volvió más avanzado y empezó a usar técnicas como el polimorfismo y el metamorfismo, con las que el código cambia su estructura en cada ejecución sin dejar de hacer daño. Esta capacidad de cambiar fue quitándole fuerza a las firmas digitales, porque un mismo archivo puede verse distinto cada vez. Así, los ataques de día cero, que aprovechan fallas todavía desconocidas o usan código totalmente nuevo, pueden seguir activos por mucho tiempo sin que los sistemas de detección tradicionales los encuentren [9].</w:t>
      </w:r>
    </w:p>
    <w:p w:rsidR="008A4316" w:rsidRDefault="008A4316" w:rsidP="008A4316">
      <w:pPr>
        <w:pStyle w:val="Textoindependiente"/>
        <w:ind w:left="568" w:right="371"/>
      </w:pPr>
      <w:r>
        <w:t xml:space="preserve">Frente a este límite, el aprendizaje automático es una opción con más futuro. Cuando se analizan archivos, los patrones que usan estos modelos salen de rasgos del propio archivo, por ejemplo las funciones que importa, cómo están organizadas sus secciones ejecutables, la entropía del código o los metadatos del encabezado PE, que es el formato normal de los ejecutables de Windows [43].</w:t>
      </w:r>
      <w:r>
        <w:t xml:space="preserve"> Un archivo PE está organizado en un encabezado DOS, un encabezado COFF y un encabezado opcional que describen la arquitectura, el subsistema y los tamaños de imagen; una tabla de secciones (código, datos, recursos); tablas de importaciones y exportaciones; directorios de datos (recursos, reubicaciones, certificado digital) y, opcionalmente, una firma Authenticode. Todo esto se puede analizar sin necesidad de ejecutar el archivo, razón por la cual este enfoque se llama análisis estático. La ventaja es evidente: se puede revisar un archivo de forma segura, sin correr el riesgo de activar código malicioso, y obtener una clasificación basada en patrones aprendidos de millones de muestras anteriores. Los conjuntos de datos de la familia EMBER materializan esta idea: cada archivo se representa como un vector numérico de tamaño fijo (2.381 valores en EMBER2018 y 2.568 en EMBER2024) que concatena histogramas de bytes, estadísticas de cadenas y propiedades de los encabezados, secciones e importaciones [1], [14].</w:t>
      </w:r>
    </w:p>
    <w:p w:rsidR="008A4316" w:rsidRDefault="008A4316" w:rsidP="008A4316">
      <w:pPr>
        <w:pStyle w:val="Textoindependiente"/>
        <w:ind w:left="568" w:right="371"/>
      </w:pPr>
      <w:r>
        <w:t xml:space="preserve">La calidad del resultado, sin embargo, depende en gran medida de qué tan bien se haya hecho el proceso de ingeniería y selección de características, que consiste en identificar cuáles variables del archivo aportan información realmente útil para la clasificación y cuáles solo introducen ruido o redundancia que puede confundir al modelo y encarecer la extracción. A ello se suma un fenómeno propio de este dominio: la deriva de concepto. Como el malware evoluciona, un modelo entrenado con archivos de un periodo tiende a perder desempeño frente a archivos posteriores, por lo que la evaluación debe hacerse con particiones temporales y no con particiones aleatorias que mezclan pasado y futuro [37]. </w:t>
      </w:r>
      <w:r>
        <w:t xml:space="preserve">EMBER2024 tiene en cuenta esta idea de forma directa: separa 52 semanas para entrenar y las 12 semanas siguientes para probar, e incluye un conjunto de desafío con malware que al principio ningún antivirus logró detectar [1].</w:t>
      </w:r>
    </w:p>
    <w:p w:rsidR="008A4316" w:rsidRDefault="008A4316" w:rsidP="008A4316">
      <w:pPr>
        <w:pStyle w:val="Textoindependiente"/>
        <w:ind w:left="568" w:right="371"/>
      </w:pPr>
      <w:r>
        <w:t xml:space="preserve">Hasta este punto el sistema podría funcionar bien en lo técnico, pero aparece otro problema importante: los modelos de aprendizaje automático, sobre todo los más precisos, suelen comportarse como cajas negras. Muchos sistemas de detección de malware solo dan una respuesta de dos opciones, es decir, dicen si el archivo es malicioso o seguro, pero no explican cómo llegaron a esa conclusión. Para un analista de seguridad con experiencia esto puede no ser un gran problema; pero para una persona sin formación técnica que solo quiere saber si puede abrir un archivo que le llegó por correo, una alerta sin contexto sirve de poco. En esos casos, el usuario no sabe qué parte del archivo causa la sospecha, qué tan grave es la amenaza ni qué debe hacer después.</w:t>
      </w:r>
    </w:p>
    <w:p w:rsidR="008A4316" w:rsidRDefault="008A4316" w:rsidP="008A4316">
      <w:pPr>
        <w:pStyle w:val="Textoindependiente"/>
        <w:ind w:left="568" w:right="371"/>
      </w:pPr>
      <w:r>
        <w:t xml:space="preserve">Para resolver este problema cobra mucha importancia la inteligencia artificial explicable, conocida como XAI, que busca que las decisiones de los modelos se puedan entender [34]. Herramientas como SHAP [44] y LIME [45] permiten mirar dentro de ese proceso y mostrar qué características del archivo influyeron en el resultado. Así, el usuario no solo recibe un veredicto, sino también una explicación clara de qué elementos causaron la sospecha y cuánto pesó cada uno en la clasificación final.</w:t>
      </w:r>
    </w:p>
    <w:p w:rsidR="008A4316" w:rsidRDefault="008A4316" w:rsidP="008A4316">
      <w:pPr>
        <w:pStyle w:val="Textoindependiente"/>
        <w:ind w:left="568" w:right="371"/>
      </w:pPr>
      <w:r>
        <w:t xml:space="preserve">Además, el proyecto tiene una dimensión que atraviesa todo el trabajo y que es igual de importante: que la solución la pueda usar cualquier persona. Un sistema preciso y transparente no sirve de mucho si para manejarlo se necesitan conocimientos técnicos avanzados. Casi todas las herramientas actuales para analizar malware están hechas para especialistas, y justamente esa barrera es la que este trabajo quiere bajar. La interfaz del sistema se hizo con Gradio [46], una biblioteca de Python que permite crear aplicaciones web para modelos de machine learning sin tener que programar por separado el frontend y el backend, y su facilidad de uso se mide con la escala SUS [3]. La idea es que cualquier persona pueda subir un archivo y entender el resultado sin tener que lidiar con métricas complicadas ni gráficas difíciles de leer.</w:t>
      </w:r>
    </w:p>
    <w:p w14:paraId="772BF6BF" w14:textId="1FE0D197" w:rsidR="00786395" w:rsidRDefault="00786395" w:rsidP="009E5483">
      <w:pPr>
        <w:pStyle w:val="Ttulo2"/>
        <w:rPr>
          <w:rFonts w:eastAsia="Arial" w:cs="Arial"/>
          <w:color w:val="000000" w:themeColor="text1"/>
          <w:lang w:val="es"/>
        </w:rPr>
      </w:pPr>
      <w:bookmarkStart w:id="35" w:name="_Toc475115523"/>
      <w:bookmarkStart w:id="36" w:name="_Toc475112167"/>
      <w:bookmarkStart w:id="37" w:name="_Toc240146214"/>
      <w:r>
        <w:rPr>
          <w:b/>
          <w:bCs/>
        </w:rPr>
        <w:lastRenderedPageBreak/>
        <w:t>Marco Teórico</w:t>
      </w:r>
      <w:bookmarkEnd w:id="35"/>
      <w:bookmarkEnd w:id="36"/>
      <w:r>
        <w:rPr>
          <w:b/>
          <w:bCs/>
        </w:rPr>
        <w:t>.</w:t>
      </w:r>
      <w:bookmarkEnd w:id="37"/>
      <w:r>
        <w:t xml:space="preserve">  </w:t>
      </w:r>
    </w:p>
    <w:p w:rsidR="008A4316" w:rsidRDefault="008A4316" w:rsidP="008A4316">
      <w:pPr>
        <w:pStyle w:val="Textoindependiente"/>
        <w:ind w:left="568" w:right="371"/>
      </w:pPr>
      <w:r>
        <w:t xml:space="preserve">Este proyecto se apoya en un marco teórico con cuatro ejes: los algoritmos de clasificación supervisada, las métricas y la forma de evaluar, las técnicas para explicar los modelos de aprendizaje automático y el análisis estático de archivos ejecutables.</w:t>
      </w:r>
    </w:p>
    <w:p w:rsidR="008A4316" w:rsidRDefault="008A4316" w:rsidP="008A4316">
      <w:pPr>
        <w:pStyle w:val="Textoindependiente"/>
        <w:ind w:left="568" w:right="371"/>
      </w:pPr>
      <w:r>
        <w:rPr>
          <w:b/>
          <w:bCs/>
        </w:rPr>
        <w:t xml:space="preserve">Algoritmos de clasificación.</w:t>
      </w:r>
      <w:r>
        <w:t xml:space="preserve"> </w:t>
      </w:r>
      <w:r>
        <w:t xml:space="preserve">Random Forest [47] es un modelo de ensamble. Durante el entrenamiento construye muchos árboles de decisión; cada árbol aprende con una muestra bootstrap de los datos y, en cada división, con un grupo aleatorio de variables. Al final, los árboles votan y su respuesta conjunta es más estable. Esta forma de trabajar tiene una gran ventaja: como no depende de un solo árbol, el modelo se sobreajusta mucho menos y maneja mejor los datos con ruido o inconsistencias, algo común en los conjuntos de datos de malware. Los Extra Trees [2] agregan todavía más azar, porque también eligen al azar los umbrales de división; esto reduce la varianza y los hace muy buenos para medir qué tan importante es cada variable, y por eso en este proyecto se usan para ordenar las características. XGBoost [48], cuyo nombre viene de Extreme Gradient Boosting, construye los árboles uno después de otro: cada árbol nuevo se dedica a corregir los errores del anterior usando descenso de gradiente sobre una función de pérdida con regularización, y así logra muy buenos resultados en detección de malware con un costo bajo de entrenamiento e inferencia. El tercer enfoque son las redes neuronales densas (fully connected networks), formadas por capas de neuronas artificiales conectadas todas entre sí, con funciones de activación no lineales (ReLU) y una salida sigmoide que da la probabilidad de la clase positiva. Su punto fuerte es que pueden captar relaciones no lineales complejas; sin embargo, necesitan muchos más datos, dependen de que las entradas estén bien escaladas y, con datos tabulares, los ensambles de árboles suelen ganarles [49].</w:t>
      </w:r>
    </w:p>
    <w:p w:rsidR="008A4316" w:rsidRDefault="008A4316" w:rsidP="008A4316">
      <w:pPr>
        <w:pStyle w:val="Textoindependiente"/>
        <w:ind w:left="568" w:right="371"/>
      </w:pPr>
      <w:r>
        <w:rPr>
          <w:b/>
          <w:bCs/>
        </w:rPr>
        <w:t xml:space="preserve">Métricas y protocolo de evaluación.</w:t>
      </w:r>
      <w:r>
        <w:t xml:space="preserve"> Cuando el problema tiene dos clases, se parte de la matriz de confusión (verdaderos positivos TP, falsos positivos FP, verdaderos negativos TN y falsos negativos FN) y con ella se calculan la precisión P = TP/(TP+FP), el recall R = TP/(TP+FN), el F1-score F1 = 2PR/(P+R), la exactitud (TP+TN)/N y la tasa de falsos positivos FPR = FP/(FP+TN). El AUC-ROC muestra en un solo número el equilibrio entre recall y FPR para todos los umbrales posibles, y el área bajo la curva precisión-recall (PR-AUC) dice más cuando una clase tiene muchos más ejemplos que la otra. En detección de malware también se suele reportar el recall que se logra con una tasa de falsos positivos fija (por ejemplo, TPR al 1 % de FPR), porque en el uso real, si hay demasiadas falsas alarmas, la gente deja de hacerle caso a la herramienta [1], [14]. Para medir el desempeño sin depender de una sola partición se usa validación cruzada estratificada de k particiones, y para escoger los hiperparámetros se hace una búsqueda aleatoria entre varias configuraciones [50]. Por último, como el malware cambia con el tiempo, la evaluación debe seguir el orden de las fechas: entrenar con archivos más viejos y probar con archivos más nuevos evita el sesgo temporal que hace ver mejores de lo que son los resultados de las particiones aleatorias [37].</w:t>
      </w:r>
    </w:p>
    <w:p w:rsidR="008A4316" w:rsidRDefault="008A4316" w:rsidP="008A4316">
      <w:pPr>
        <w:pStyle w:val="Textoindependiente"/>
        <w:ind w:left="568" w:right="371"/>
      </w:pPr>
      <w:r>
        <w:rPr>
          <w:b/>
          <w:bCs/>
        </w:rPr>
        <w:t xml:space="preserve">Técnicas de explicabilidad.</w:t>
      </w:r>
      <w:r>
        <w:t xml:space="preserve"> </w:t>
      </w:r>
      <w:r>
        <w:t xml:space="preserve">SHAP [44] se basa en la teoría de juegos cooperativos, en particular en los valores de Shapley, que se crearon para repartir de forma justa la ganancia de un juego entre los jugadores según lo que aportó cada uno. Si se lleva esta idea al aprendizaje automático, se puede medir cuánto aportó cada característica a la predicción del modelo. Es una técnica sólida porque cumple propiedades matemáticas importantes: la consistencia, según la cual una característica que pesa más siempre recibe un valor mayor, y la aditividad, según la cual la suma de todos los aportes más un valor base da exactamente el resultado; además, para modelos de árboles hay un algoritmo exacto y rápido (TreeExplainer).</w:t>
      </w:r>
      <w:r>
        <w:t xml:space="preserve"> LIME [45] trabaja de una manera diferente: en lugar de analizar el modelo de forma global, genera explicaciones locales para cada predicción individual entrenando un modelo lineal simple, fácilmente interpretable, en la vecindad del dato que se quiere explicar, de modo que ese modelo aproxime el comportamiento del modelo complejo justo en ese punto. LIME es agnóstico al modelo subyacente, lo que lo convierte en una herramienta flexible, aunque sus explicaciones dependen del muestreo aleatorio y pueden variar entre ejecuciones; por ello en este proyecto se usa como técnica de contraste y se mide el acuerdo entre ambas técnicas. Ambas han sido aplicadas en sistemas de detección de intrusiones y clasificación de malware en la literatura reciente [34], [36], [51].</w:t>
      </w:r>
    </w:p>
    <w:p w:rsidR="008A4316" w:rsidRDefault="008A4316" w:rsidP="008A4316">
      <w:pPr>
        <w:pStyle w:val="Textoindependiente"/>
        <w:ind w:left="568" w:right="371"/>
      </w:pPr>
      <w:r>
        <w:rPr>
          <w:b/>
          <w:bCs/>
        </w:rPr>
        <w:t xml:space="preserve">Análisis estático de ejecutables y conjuntos de datos.</w:t>
      </w:r>
      <w:r>
        <w:t xml:space="preserve"> La idea de detectar ejecutables maliciosos con métodos de minería de datos sobre propiedades estáticas se remonta al trabajo de Schultz et al. [52], que usó cadenas, importaciones y secuencias de bytes. Saxe y Berlin [53] propusieron el histograma bidimensional byte-entropía que hoy forma parte de EMBER. EMBER [14] estandarizó la representación de un archivo PE como un vector de características agrupadas (histogramas, cadenas, encabezados, secciones, importaciones, exportaciones y directorios de datos) y publicó un millón de muestras etiquetadas; EMBER2024 [1], [54] amplió el formato a 2.568 dimensiones (con información del Rich header, la firma Authenticode y las advertencias de análisis del formato), incorporó 3,2 millones de archivos de seis formatos, etiquetas de familia y comportamiento, una partición de prueba temporal y un conjunto de desafío de malware evasivo, y publicó un extractor de referencia (thrember) basado en pefile. Otros conjuntos públicos comparables son BODMAS [55] y SOREL-20M [56], también sobre archivos PE, y CIC-MalMem-2022 [57], basado en volcados de memoria (análisis dinámico).</w:t>
      </w:r>
    </w:p>
    <w:p w:rsidR="008A4316" w:rsidRDefault="008A4316" w:rsidP="008A4316">
      <w:pPr>
        <w:pStyle w:val="Textoindependiente"/>
        <w:ind w:left="568" w:right="371"/>
      </w:pPr>
      <w:r>
        <w:rPr>
          <w:b/>
          <w:bCs/>
        </w:rPr>
        <w:t xml:space="preserve">Usabilidad.</w:t>
      </w:r>
      <w:r>
        <w:t xml:space="preserve"> La escala SUS [3] es un cuestionario de diez afirmaciones con respuestas de 1 a 5 cuyo puntaje agregado va de 0 a 100; su validez y su interpretación han sido estudiadas ampliamente: un puntaje de 68 corresponde al promedio de referencia y valores por encima de 70 se consideran buenos [58]. </w:t>
      </w:r>
      <w:r>
        <w:t>Sauro y Lewis [59] propusieron una versión con las diez afirmaciones redactadas en sentido positivo, que evita las confusiones que produce alternar afirmaciones positivas y negativas y da puntajes equivalentes a los del cuestionario original; esa es la versión que se usa en este proyecto para medir qué tan fácil les resulta la interfaz a personas sin formación técnica.</w:t>
      </w:r>
      <w:r/>
    </w:p>
    <w:p w:rsidR="00786395" w:rsidRDefault="00786395" w:rsidP="009E5483">
      <w:pPr>
        <w:pStyle w:val="Ttulo2"/>
        <w:rPr>
          <w:rFonts w:eastAsia="Arial" w:cs="Arial"/>
          <w:color w:val="000000" w:themeColor="text1"/>
          <w:lang w:val="es"/>
        </w:rPr>
      </w:pPr>
      <w:r>
        <w:t xml:space="preserve">Estado del Arte.</w:t>
      </w:r>
    </w:p>
    <w:p w:rsidR="008A4316" w:rsidRDefault="008A4316" w:rsidP="008A4316">
      <w:pPr>
        <w:pStyle w:val="Textoindependiente"/>
        <w:ind w:left="568" w:right="371"/>
      </w:pPr>
      <w:r>
        <w:t xml:space="preserve">En esta sección los trabajos revisados se agrupan en cinco temas: las bases de la detección estática con aprendizaje automático, los conjuntos de datos y la evaluación en el tiempo, la selección de características y la eficiencia, los enfoques con redes neuronales y en otras plataformas, y la explicabilidad aplicada al malware. Se da prioridad a artículos científicos recientes y, al final, se señalan los vacíos que este proyecto busca cubrir.</w:t>
      </w:r>
    </w:p>
    <w:p w:rsidR="008A4316" w:rsidRDefault="008A4316" w:rsidP="008A4316">
      <w:pPr>
        <w:pStyle w:val="Textoindependiente"/>
        <w:ind w:left="568" w:right="371"/>
      </w:pPr>
      <w:r>
        <w:rPr>
          <w:b/>
          <w:bCs/>
        </w:rPr>
        <w:t xml:space="preserve">Detección estática con aprendizaje automático.</w:t>
      </w:r>
      <w:r>
        <w:t xml:space="preserve"> </w:t>
      </w:r>
      <w:r>
        <w:t>Schultz et al. [52] fueron los primeros en proponer la minería de datos para reconocer ejecutables maliciosos nuevos, y mostraron que los clasificadores entrenados con cadenas, importaciones y secuencias de bytes funcionaban mejor que las firmas con muestras que no habían visto antes. Alazab et al. [60] y Ali et al. [61] ampliaron esta idea usando algoritmos supervisados con firmas de llamadas a la API y características estáticas, y comprobaron que el enfoque sirve para el malware de día cero. Las revisiones que vinieron después [10], [41], [62] ordenan las técnicas de análisis (estático, dinámico e híbrido), los conjuntos de datos disponibles y los problemas que siguen abiertos, como la evasión, la deriva de concepto y la calidad de las etiquetas. Estudios comparativos como los de Kumar et al. [63] y Roopa Sarika [64] ponen a prueba varios algoritmos supervisados en la misma tarea y confirman que los ensambles de árboles son muy competitivos, mientras que Guo [9] y Mote y Arabagatte [35] revisan en particular la detección de ataques de día cero y sus límites.</w:t>
      </w:r>
    </w:p>
    <w:p w:rsidR="008A4316" w:rsidRDefault="008A4316" w:rsidP="008A4316">
      <w:pPr>
        <w:pStyle w:val="Textoindependiente"/>
        <w:ind w:left="568" w:right="371"/>
      </w:pPr>
      <w:r>
        <w:rPr>
          <w:b/>
          <w:bCs/>
        </w:rPr>
        <w:t xml:space="preserve">Conjuntos de datos y evaluación temporal.</w:t>
      </w:r>
      <w:r>
        <w:t xml:space="preserve"> Con la publicación de EMBER [14], la detección estática de archivos PE pasó a ser un problema de referencia que cualquiera puede reproducir; su clasificador base (LightGBM) llegó a un AUC-ROC de 0,999 en la prueba de 2018, un resultado que la misma comunidad vio como demasiado fácil [54]. Pendlebury et al. [37] mostraron que las particiones aleatorias hacen ver mejores de lo que son a los detectores de malware, y propusieron evaluar respetando el orden en el tiempo y la proporción real de cada clase; Khormali et al. [38] midieron cuánto empeoran distintos detectores con el paso del tiempo. BODMAS [55] y SOREL-20M [56] respondieron con conjuntos más grandes y con fechas, y EMBER2024 [1] trajo desde su diseño la evaluación temporal (52 semanas para entrenar y 12 para probar), etiquetas de familia y de comportamiento, y un conjunto de desafío de malware evasivo; con este conjunto, el clasificador de referencia baja de un AUC-ROC de 0,995 en la prueba temporal a un PR-AUC de 0,654 en Win32, lo que muestra lo difícil que es el problema real. Frhan [65] y Mathew [66] proponen marcos híbridos y basados en aprendizaje para amenazas de día cero, y en Latinoamérica González-Medina y Vázquez [67] usaron redes neuronales para clasificar malware y obtuvieron buenos resultados.</w:t>
      </w:r>
    </w:p>
    <w:p w:rsidR="008A4316" w:rsidRDefault="008A4316" w:rsidP="008A4316">
      <w:pPr>
        <w:pStyle w:val="Textoindependiente"/>
        <w:ind w:left="568" w:right="371"/>
      </w:pPr>
      <w:r>
        <w:rPr>
          <w:b/>
          <w:bCs/>
        </w:rPr>
        <w:t xml:space="preserve">Selección de características y eficiencia.</w:t>
      </w:r>
      <w:r>
        <w:t xml:space="preserve"> Un tema que se repite es cómo pasar de miles de variables de un vector estático a muchas menos sin perder la capacidad de distinguir entre clases. Moreno-Lara et al. [68] juntan varios métodos de selección en un ensamble para detectar malware de forma estática y muestran que con pocos atributos el desempeño sigue siendo bueno; Baker del Águila et al. [49] muestran que modelos con pocos parámetros, entrenados con características estáticas de EMBER, logran buenos resultados con una pequeña parte del costo de cómputo; Tanuwidjaja y Kim [69] proponen dar pesos a las características al seleccionarlas y combinarlo con abstracción profunda; Hadjila et al. [70] usan ANOVA para escoger variables antes de entrenar una red neuronal sobre CIC-MalMem-2022; Mutlu et al. [71] prueban técnicas de reducción para detectar ransomware más rápido; y Panja et al. [51] y Gupta et al. [72] crean sistemas de detección para equipos con pocos recursos, donde el peso de cada característica sirve tanto para seleccionarla como para explicar el resultado. Estos trabajos apoyan la estrategia de este proyecto: ordenar por importancia, filtrar las variables repetidas y usar una curva que muestra claramente el equilibrio entre cuántas variables se usan y qué tan bien funciona el modelo.</w:t>
      </w:r>
    </w:p>
    <w:p w:rsidR="008A4316" w:rsidRDefault="008A4316" w:rsidP="008A4316">
      <w:pPr>
        <w:pStyle w:val="Textoindependiente"/>
        <w:ind w:left="568" w:right="371"/>
      </w:pPr>
      <w:r>
        <w:rPr>
          <w:b/>
          <w:bCs/>
        </w:rPr>
        <w:t xml:space="preserve">Enfoques neuronales y otras plataformas.</w:t>
      </w:r>
      <w:r>
        <w:t xml:space="preserve"> Gupta et al. [73] mezclan procesamiento de lenguaje natural y aprendizaje profundo usando versiones en texto de los binarios; Dalaky y Giroh [74] mejoran redes neuronales con enjambres de partículas para detectar intrusiones; Shakib [75] compara las arquitecturas CNN, RNN, LSTM y GRU con aprendizaje activo para malware de Android, y Tanveer y Ali [76] analizan qué tan resistentes son los detectores de Android ante ataques adversarios.</w:t>
      </w:r>
      <w:r>
        <w:t xml:space="preserve"> Saber Latibari et al. [77] revisan el uso de transformadores en seguridad de hardware y Gravereaux e Islam [78] analizan los compromisos entre exactitud y eficiencia de los modelos de lenguaje grandes para detectar y explicar malware. En conjunto, estos trabajos muestran que las arquitecturas profundas amplían el espacio de diseño, pero también que su costo computacional y su menor interpretabilidad las hacen menos adecuadas para una herramienta ligera de uso general como la que aquí se propone.</w:t>
      </w:r>
    </w:p>
    <w:p w:rsidR="008A4316" w:rsidRDefault="008A4316" w:rsidP="008A4316">
      <w:pPr>
        <w:pStyle w:val="Textoindependiente"/>
        <w:ind w:left="568" w:right="371"/>
      </w:pPr>
      <w:r>
        <w:rPr>
          <w:b/>
          <w:bCs/>
        </w:rPr>
        <w:t xml:space="preserve">Explicabilidad aplicada al malware.</w:t>
      </w:r>
      <w:r>
        <w:t xml:space="preserve"> Manthena et al. [34] ofrecen la revisión más completa de XAI para análisis de malware y señalan como retos abiertos la fidelidad de las explicaciones, su evaluación cuantitativa y su utilidad para usuarios no expertos. Galli et al. [36] evalúan distintas técnicas de explicabilidad (entre ellas SHAP y LIME) en detectores basados en comportamiento y discuten criterios para valorar la calidad de sus explicaciones; Baghirov [79] evalúa la confiabilidad de LEMNA frente a LIME y SHAP en detección de malware, lo que pone de relieve que las explicaciones de distintas técnicas pueden diferir y motiva medir el acuerdo entre ellas, como se hace en este proyecto con el índice de Jaccard entre SHAP y LIME. Anthony et al. [80] proponen redes explicadas por lógica que producen reglas legibles; Aljarrah et al. [81] y Farfoura et al. [82] incorporan mecanismos de atención interpretables para malware de día cero y para amenazas ofuscadas en memoria; Al-Odat [83], Srisumrith y Sodsee [84] y Nilesh et al. [85] integran SHAP en sistemas de gradient boosting y perceptrones multicapa para ransomware, amenazas de red y entornos de nube; y Ambekar et al. [86] combinan atención y XAI para clasificar malware Android. Casi todos estos trabajos entregan las explicaciones al analista en forma de gráficos SHAP o reglas; pocos las traducen a lenguaje natural para un usuario final ni las validan con pruebas de usabilidad.</w:t>
      </w:r>
    </w:p>
    <w:p w:rsidR="008A4316" w:rsidRDefault="008A4316" w:rsidP="008A4316">
      <w:pPr>
        <w:pStyle w:val="Textoindependiente"/>
        <w:ind w:left="568" w:right="371"/>
      </w:pPr>
      <w:r>
        <w:rPr>
          <w:b/>
          <w:bCs/>
        </w:rPr>
        <w:t xml:space="preserve">Síntesis y vacíos identificados.</w:t>
      </w:r>
      <w:r>
        <w:t xml:space="preserve"> La revisión muestra que (1) la detección estática con ensambles de árboles sobre características tipo EMBER es el estado de la práctica, pero la mayoría de los trabajos siguen evaluándose con EMBER2018 y particiones aleatorias, sin prueba temporal ni malware evasivo; (2) la selección de características se justifica casi siempre por exactitud, sin hacer explícito el compromiso con el costo de extracción; y (3) la explicabilidad se dirige al especialista y rara vez se mide con usuarios. Este proyecto atiende los tres vacíos al usar EMBER2024 con su prueba temporal y su conjunto de desafío, al seleccionar las características con una regla explícita sobre la curva K vs. F1 y al traducir las explicaciones SHAP a lenguaje natural en una interfaz evaluada con pruebas funcionales, de rendimiento y de usabilidad (SUS).</w:t>
      </w:r>
    </w:p>
    <w:p w14:paraId="7D6F3BA8" w14:textId="053BE76C" w:rsidR="00B826AA" w:rsidRDefault="00786395" w:rsidP="009E5483">
      <w:pPr>
        <w:pStyle w:val="Ttulo2"/>
      </w:pPr>
      <w:bookmarkStart w:id="40" w:name="_Toc240146215"/>
      <w:r>
        <w:rPr>
          <w:b/>
          <w:bCs/>
        </w:rPr>
        <w:t>Marco Jurídico</w:t>
      </w:r>
      <w:bookmarkEnd w:id="38"/>
      <w:bookmarkEnd w:id="39"/>
      <w:r>
        <w:rPr>
          <w:b/>
          <w:bCs/>
        </w:rPr>
        <w:t>.</w:t>
      </w:r>
      <w:bookmarkEnd w:id="40"/>
      <w:r>
        <w:t xml:space="preserve"> </w:t>
      </w:r>
    </w:p>
    <w:p w:rsidR="00AC2941" w:rsidRPr="00AC2941" w:rsidRDefault="00AC2941" w:rsidP="00AC2941">
      <w:pPr>
        <w:rPr>
          <w:rFonts w:eastAsia="Arial" w:cs="Arial"/>
          <w:color w:val="000000" w:themeColor="text1"/>
        </w:rPr>
      </w:pPr>
      <w:r>
        <w:t xml:space="preserve">Este sistema se desarrolló e implementó dentro de un marco de normas internacionales, nacionales y del sector, que explica por qué es importante contar con herramientas tecnológicas para protegerse de las amenazas informáticas.</w:t>
      </w:r>
    </w:p>
    <w:p w:rsidR="00AC2941" w:rsidRPr="00AC2941" w:rsidRDefault="00AC2941" w:rsidP="00AC2941">
      <w:pPr>
        <w:rPr>
          <w:rFonts w:eastAsia="Arial" w:cs="Arial"/>
          <w:color w:val="000000" w:themeColor="text1"/>
        </w:rPr>
      </w:pPr>
      <w:r>
        <w:t>A nivel internacional, el Convenio de Budapest sobre Ciberdelincuencia (2001) [87], en el que Colombia participa como Estado observador, es una referencia mundial para clasificar los delitos informáticos y organizar la cooperación entre países frente a las amenazas digitales. Aunque Colombia no está obligada legalmente por este convenio, sí influye en la dirección de la política nacional de ciberseguridad y respalda la creación de herramientas para detectar y prevenir código malicioso.</w:t>
      </w:r>
    </w:p>
    <w:p w:rsidR="00AC2941" w:rsidRPr="00AC2941" w:rsidRDefault="00AC2941" w:rsidP="00AC2941">
      <w:pPr>
        <w:rPr>
          <w:rFonts w:eastAsia="Arial" w:cs="Arial"/>
          <w:color w:val="000000" w:themeColor="text1"/>
        </w:rPr>
      </w:pPr>
      <w:r>
        <w:t xml:space="preserve">A nivel nacional, la </w:t>
      </w:r>
      <w:r>
        <w:rPr>
          <w:b/>
          <w:bCs/>
        </w:rPr>
        <w:t xml:space="preserve">Ley 1273 de 2009</w:t>
      </w:r>
      <w:r>
        <w:t xml:space="preserve"> [12] agregó al Código Penal colombiano un capítulo dedicado a proteger la información y los datos. Con este cambio se convirtieron en delito conductas como el acceso abusivo a sistemas informáticos (art. 269A), el daño informático (art. 269D) y el uso de software malicioso (art. 269E). Esta ley muestra por qué el proyecto es necesario para la sociedad, ya que el malware es la principal vía para cometer muchos de estos delitos</w:t>
      </w:r>
      <w:r>
        <w:t xml:space="preserve">. La existencia de esta normativa crea una responsabilidad implícita en usuarios e instituciones de adoptar medidas preventivas, entre las que se cuenta el análisis de archivos antes de su ejecución.</w:t>
      </w:r>
    </w:p>
    <w:p w:rsidR="00AC2941" w:rsidRPr="00AC2941" w:rsidRDefault="00AC2941" w:rsidP="00AC2941">
      <w:pPr>
        <w:rPr>
          <w:rFonts w:eastAsia="Arial" w:cs="Arial"/>
          <w:color w:val="000000" w:themeColor="text1"/>
        </w:rPr>
      </w:pPr>
      <w:r>
        <w:t xml:space="preserve">La </w:t>
      </w:r>
      <w:r>
        <w:rPr>
          <w:b/>
          <w:bCs/>
        </w:rPr>
        <w:t xml:space="preserve">Ley 1581 de 2012</w:t>
      </w:r>
      <w:r>
        <w:t xml:space="preserve"> [11], reglamentada por el Decreto 1377 de 2013 [39], establece el régimen de protección de datos personales en Colombia. Su artículo 17 impone a los responsables del tratamiento la obligación de adoptar medidas técnicas, humanas y administrativas para garantizar la seguridad de los datos, previniendo accesos no autorizados. El malware constituye uno de los principales mecanismos de vulneración de datos personales, por lo que esta ley respalda directamente el propósito del proyecto.</w:t>
      </w:r>
    </w:p>
    <w:p w:rsidR="00AC2941" w:rsidRPr="00AC2941" w:rsidRDefault="00AC2941" w:rsidP="00AC2941">
      <w:pPr>
        <w:rPr>
          <w:rFonts w:eastAsia="Arial" w:cs="Arial"/>
          <w:color w:val="000000" w:themeColor="text1"/>
        </w:rPr>
      </w:pPr>
      <w:r>
        <w:t xml:space="preserve">El </w:t>
      </w:r>
      <w:r>
        <w:rPr>
          <w:b/>
          <w:bCs/>
        </w:rPr>
        <w:t xml:space="preserve">CONPES 3995 de 2020 — Política Nacional de Confianza y Seguridad Digital</w:t>
      </w:r>
      <w:r>
        <w:t xml:space="preserve"> [13] traza una hoja de ruta para que Colombia fortalezca su capacidad de identificar y gestionar los riesgos asociados a la seguridad digital, señalando al malware como una de las amenazas más concretas y frecuentes para el desarrollo de la economía digital en el país. Entre sus lineamientos, el documento hace un llamado explícito a construir y adoptar soluciones tecnológicas que sean realmente accesibles, no solo para grandes empresas o entidades gubernamentales, sino también para ciudadanos del común que cada vez dependen más de entornos digitales para su vida cotidiana y laboral; la Estrategia Nacional de Seguridad Digital presentada por el MinTIC en 2025 reitera ese llamado [40]. </w:t>
      </w:r>
      <w:r>
        <w:t xml:space="preserve">Este proyecto responde a ese llamado con una herramienta que cualquier persona puede usar para protegerse de una de las amenazas digitales más comunes hoy en día</w:t>
      </w:r>
      <w:r>
        <w:t xml:space="preserve">.</w:t>
      </w:r>
    </w:p>
    <w:p w:rsidR="00AC2941" w:rsidRPr="00AC2941" w:rsidRDefault="00AC2941" w:rsidP="00AC2941">
      <w:pPr>
        <w:rPr>
          <w:rFonts w:eastAsia="Arial" w:cs="Arial"/>
          <w:color w:val="000000" w:themeColor="text1"/>
        </w:rPr>
      </w:pPr>
      <w:r>
        <w:t xml:space="preserve">Finalmente, el proyecto observa consideraciones éticas propias de la investigación en </w:t>
      </w:r>
      <w:r>
        <w:t>seguridad: solo se usan características sacadas de los archivos, que vienen de un conjunto de datos abierto con licencia Apache 2.0, así que nunca se manejan ni se comparten binarios maliciosos; el sistema revisa los archivos de forma estática, sin ejecutarlos; y en las pruebas de usabilidad cada participante firmó un consentimiento informado con autorización para el tratamiento de sus datos (Ley 1581 de 2012 [11] y Decreto 1377 de 2013 [39]): el nombre y la firma quedan solo en el formato impreso, que conservan los autores, y en los archivos de datos y en este documento cada persona aparece con un código y en resultados agregados.</w:t>
      </w:r>
      <w:r/>
    </w:p>
    <w:p w14:paraId="305EEED6" w14:textId="6629C877" w:rsidR="006660E4" w:rsidRDefault="006660E4" w:rsidP="009E5483">
      <w:pPr>
        <w:pStyle w:val="Ttulo1"/>
        <w:jc w:val="left"/>
        <w:rPr>
          <w:b/>
          <w:bCs/>
        </w:rPr>
      </w:pPr>
      <w:bookmarkStart w:id="41" w:name="_Toc240146216"/>
      <w:r>
        <w:rPr>
          <w:b/>
          <w:bCs/>
        </w:rPr>
        <w:lastRenderedPageBreak/>
        <w:t>DISEÑO METODOLÓGICO</w:t>
      </w:r>
      <w:bookmarkEnd w:id="41"/>
    </w:p>
    <w:p w:rsidR="00AC2941" w:rsidRPr="00AC2941" w:rsidRDefault="00AC2941" w:rsidP="00AC2941">
      <w:pPr>
        <w:rPr>
          <w:rFonts w:eastAsia="Arial" w:cs="Arial"/>
          <w:color w:val="000000" w:themeColor="text1"/>
        </w:rPr>
      </w:pPr>
      <w:r>
        <w:t xml:space="preserve">Este proyecto es una investigación aplicada, con enfoque cuantitativo y de tipo experimental: se crea un producto de software (el sistema de detección) y se mide qué tan bien funciona con indicadores objetivos, como las métricas de clasificación en conjuntos de prueba independientes, los tiempos de respuesta y los puntajes de usabilidad, comparándolos con metas definidas desde el inicio. El desarrollo avanza por etapas que se repiten y van creciendo: cada fase entrega una parte del producto final que se puede comprobar, se revisa con una compuerta de indicadores (KPI) y, si no se alcanza la meta, puede devolver el trabajo a la fase anterior</w:t>
      </w:r>
      <w:r>
        <w:t xml:space="preserve">. La Figura 1 resume las tres fases, que corresponden uno a uno con los objetivos específicos.</w:t>
      </w:r>
    </w:p>
    <w:p>
      <w:pPr>
        <w:pStyle w:val="Descripcin"/>
        <w:keepNext/>
      </w:pPr>
      <w:r>
        <w:rPr>
          <w:rFonts w:ascii="Arial" w:hAnsi="Arial" w:cs="Arial"/>
          <w:b/>
          <w:bCs/>
          <w:color w:val="000000"/>
          <w:sz w:val="20"/>
          <w:szCs w:val="20"/>
        </w:rPr>
        <w:t xml:space="preserve">Figura 1. Diseño metodológico: fases, actividades, compuertas de verificación e incrementos del proyecto</w:t>
      </w:r>
    </w:p>
    <w:p>
      <w:pPr>
        <w:keepNext/>
        <w:jc w:val="center"/>
      </w:pPr>
      <w:r>
        <w:drawing>
          <wp:inline xmlns:a="http://schemas.openxmlformats.org/drawingml/2006/main" xmlns:pic="http://schemas.openxmlformats.org/drawingml/2006/picture">
            <wp:extent cx="5220000" cy="8135519"/>
            <wp:docPr id="1925695354" name="Picture 1925695354"/>
            <wp:cNvGraphicFramePr>
              <a:graphicFrameLocks noChangeAspect="1"/>
            </wp:cNvGraphicFramePr>
            <a:graphic>
              <a:graphicData uri="http://schemas.openxmlformats.org/drawingml/2006/picture">
                <pic:pic>
                  <pic:nvPicPr>
                    <pic:cNvPr id="0" name="fig_diseno_metodologico.png"/>
                    <pic:cNvPicPr/>
                  </pic:nvPicPr>
                  <pic:blipFill>
                    <a:blip r:embed="rId19"/>
                    <a:stretch>
                      <a:fillRect/>
                    </a:stretch>
                  </pic:blipFill>
                  <pic:spPr>
                    <a:xfrm>
                      <a:off x="0" y="0"/>
                      <a:ext cx="5220000" cy="8135519"/>
                    </a:xfrm>
                    <a:prstGeom prst="rect"/>
                  </pic:spPr>
                </pic:pic>
              </a:graphicData>
            </a:graphic>
          </wp:inline>
        </w:drawing>
      </w:r>
    </w:p>
    <w:p>
      <w:pPr>
        <w:spacing w:before="60" w:after="240"/>
        <w:jc w:val="left"/>
      </w:pPr>
      <w:r>
        <w:rPr>
          <w:rFonts w:ascii="Arial" w:hAnsi="Arial" w:cs="Arial"/>
          <w:i/>
          <w:iCs/>
          <w:sz w:val="18"/>
          <w:szCs w:val="18"/>
        </w:rPr>
        <w:t xml:space="preserve">Fuente: elaboración propia.</w:t>
      </w:r>
    </w:p>
    <w:p w:rsidR="00AC2941" w:rsidRPr="00AC2941" w:rsidRDefault="00AC2941" w:rsidP="00AC2941">
      <w:pPr>
        <w:rPr>
          <w:rFonts w:eastAsia="Arial" w:cs="Arial"/>
          <w:color w:val="000000" w:themeColor="text1"/>
        </w:rPr>
      </w:pPr>
      <w:r>
        <w:rPr>
          <w:b/>
          <w:bCs/>
        </w:rPr>
        <w:t xml:space="preserve">Fase 1 — OE1 · Preparación del conjunto de datos.</w:t>
      </w:r>
      <w:r>
        <w:t xml:space="preserve"> Corresponde al primer objetivo específico. Las actividades cubren el ciclo completo de preparación: adquisición de EMBER2024 desde su repositorio público en Hugging Face, lectura y vectorización de los archivos PE (Win32, Win64 y .NET) con el extractor oficial thrember, muestreo aleatorio determinista del entrenamiento para ajustarse a los recursos de Google Colab, limpieza (duplicados, valores no finitos, columnas constantes), verificación del balance de clases, ranking de importancia con Extra Trees, filtro de redundancia por correlación y construcción de la curva K vs. F1 conservado, de la que se toma el menor K que conserva al menos el 95 % del F1 de referencia. El producto de esta fase es un conjunto de datos depurado y reducido (entrenamiento, prueba temporal y desafío) más el diccionario de datos.</w:t>
      </w:r>
    </w:p>
    <w:p w:rsidR="00AC2941" w:rsidRPr="00AC2941" w:rsidRDefault="00AC2941" w:rsidP="00AC2941">
      <w:pPr>
        <w:rPr>
          <w:rFonts w:eastAsia="Arial" w:cs="Arial"/>
          <w:color w:val="000000" w:themeColor="text1"/>
        </w:rPr>
      </w:pPr>
      <w:r>
        <w:rPr>
          <w:b/>
          <w:bCs/>
        </w:rPr>
        <w:t xml:space="preserve">Fase 2 — OE2 · Desarrollo del sistema de clasificación.</w:t>
      </w:r>
      <w:r>
        <w:t xml:space="preserve"> Corresponde al segundo objetivo. Se entrenan y comparan Random Forest, XGBoost y una red neuronal densa con búsqueda aleatoria de hiperparámetros y validación cruzada estratificada de tres particiones, de modo que los resultados no dependan de una sola división de los datos. La evaluación final se realiza sobre la prueba temporal de EMBER2024 (archivos posteriores a los de entrenamiento) y sobre el conjunto de desafío (malware evasivo), con las métricas accuracy, precision, recall, F1-score, AUC-ROC, PR-AUC, tasa de falsos positivos, tasa de falsos negativos, recall al 1 % de falsos positivos, desempeño por tipo de archivo y por semana, y tiempos de entrenamiento e inferencia. El resultado es la selección de la configuración con mejor desempeño mediante una regla explícita: entre los modelos que cumplen la meta de falsos positivos (≤ 5 %), el de mayor recall, con desempate por F1 y latencia. El énfasis en el recall responde a que, en detección de malware, un falso negativo (dejar pasar un archivo malicioso) es el error más costoso.</w:t>
      </w:r>
    </w:p>
    <w:p w:rsidR="00AC2941" w:rsidRPr="00AC2941" w:rsidRDefault="00AC2941" w:rsidP="00AC2941">
      <w:pPr>
        <w:rPr>
          <w:rFonts w:eastAsia="Arial" w:cs="Arial"/>
          <w:color w:val="000000" w:themeColor="text1"/>
        </w:rPr>
      </w:pPr>
      <w:r>
        <w:rPr>
          <w:b/>
          <w:bCs/>
        </w:rPr>
        <w:t xml:space="preserve">Fase 3 — OE3 · Despliegue en interfaz interactiva con XAI.</w:t>
      </w:r>
      <w:r>
        <w:t xml:space="preserve"> Responde al tercer objetivo y junta en una sola fase la explicabilidad y el despliegue. Primero se agrega la capa de XAI al modelo elegido (SHAP como técnica principal y LIME para comparar) y se mide qué tan buenas son las explicaciones (cobertura, fidelidad, acuerdo entre técnicas y tiempo). Luego, las salidas técnicas se convierten en frases en español con un nivel de riesgo y una recomendación, se construye la interfaz web con Gradio y se conectan todas las partes (extracción de características, modelo, XAI e interfaz). Por último, se valida con tres tipos de prueba: funcional (nueve casos automáticos), de rendimiento (latencia según el tamaño del archivo) y de usabilidad con la escala SUS aplicada a personas sin formación técnica. El resultado de esta fase es el sistema completo, desplegado y validado</w:t>
      </w:r>
      <w:r>
        <w:t xml:space="preserve">.</w:t>
      </w:r>
    </w:p>
    <w:p w:rsidR="00AC2941" w:rsidRPr="00AC2941" w:rsidRDefault="00AC2941" w:rsidP="00AC2941">
      <w:pPr>
        <w:rPr>
          <w:rFonts w:eastAsia="Arial" w:cs="Arial"/>
          <w:color w:val="000000" w:themeColor="text1"/>
        </w:rPr>
      </w:pPr>
      <w:r>
        <w:rPr>
          <w:b/>
          <w:bCs/>
        </w:rPr>
        <w:t xml:space="preserve">Compuertas KPI.</w:t>
      </w:r>
      <w:r>
        <w:t xml:space="preserve"> </w:t>
      </w:r>
      <w:r>
        <w:t xml:space="preserve">Son revisiones con números que se hacen al terminar cada fase, antes de dar por cumplido el hito</w:t>
      </w:r>
      <w:r>
        <w:t xml:space="preserve">. Recogen las metas medibles fijadas en el anteproyecto, resumidas en la Tabla 1: en la Fase 1, una reducción de dimensionalidad de al menos el 90 % conservando al menos el 95 % del F1 de referencia; en la Fase 2, F1 ≥ 0,95, tasa de falsos positivos ≤ 5 % y latencia de predicción por archivo menor a 10 s; en la Fase 3, cobertura de explicación del 100 % de las predicciones, latencia de extremo a extremo menor a 10 s, pruebas funcionales superadas y puntaje SUS ≥ 70. Estas compuertas son las que convierten cada objetivo en algo verificable.</w:t>
      </w:r>
    </w:p>
    <w:p>
      <w:pPr>
        <w:pStyle w:val="Descripcin"/>
        <w:keepNext/>
      </w:pPr>
      <w:r>
        <w:rPr>
          <w:rFonts w:ascii="Arial" w:hAnsi="Arial" w:cs="Arial"/>
          <w:b/>
          <w:bCs/>
          <w:color w:val="000000"/>
          <w:sz w:val="20"/>
          <w:szCs w:val="20"/>
        </w:rPr>
        <w:t xml:space="preserve">Tabla 1. Indicadores de verificación (KPI) por fase, metas y fuente de medición</w:t>
      </w:r>
    </w:p>
    <w:tbl>
      <w:tblPr>
        <w:tblStyle w:val="Tablaconcuadrcula"/>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0"/>
        <w:gridCol w:w="3300"/>
        <w:gridCol w:w="2600"/>
        <w:gridCol w:w="3200"/>
      </w:tblGrid>
      <w:tr>
        <w:trPr>
          <w:tblHeader/>
        </w:trPr>
        <w:tc>
          <w:tcPr>
            <w:tcW w:w="9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Fase</w:t>
            </w:r>
          </w:p>
        </w:tc>
        <w:tc>
          <w:tcPr>
            <w:tcW w:w="33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Indicador</w:t>
            </w:r>
          </w:p>
        </w:tc>
        <w:tc>
          <w:tcPr>
            <w:tcW w:w="26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Meta</w:t>
            </w:r>
          </w:p>
        </w:tc>
        <w:tc>
          <w:tcPr>
            <w:tcW w:w="32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Instrumento de medición</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Reducción de dimensionalidad</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90 % de las 2.568 características</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Curva K vs. F1 (notebook, Fase 1b)</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F1 conservado tras la selección</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95 % del F1 de referencia</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Extra Trees sobre partición de validación</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Balance de clases</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Verificado y documentado</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Conteo por clase, tipo y semana</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2</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F1-score</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0,95</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Prueba temporal de EMBER2024</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2</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Tasa de falsos positivos (FPR)</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5 %</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Prueba temporal de EMBER2024</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2</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Latencia de predicción por archivo</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&lt; 10 s</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Mediana de 50 predicciones unitarias</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3</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Cobertura de explicación</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100 % de las predicciones</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Fracción de archivos con explicación válida</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3</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Latencia de extremo a extremo</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&lt; 10 s (p95, archivos de hasta 20 MB)</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Pruebas de rendimiento (Fase 4b)</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3</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Pruebas funcionales</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9 de 9 superadas</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Casos PF-01 a PF-09</w:t>
            </w:r>
          </w:p>
        </w:tc>
      </w:tr>
      <w:tr>
        <w:tc>
          <w:tcPr>
            <w:tcW w:w="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3</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Usabilidad</w:t>
            </w:r>
          </w:p>
        </w:tc>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SUS ≥ 70</w:t>
            </w:r>
          </w:p>
        </w:tc>
        <w:tc>
          <w:tcPr>
            <w:tcW w:w="3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Cuestionario SUS a usuarios reales</w:t>
            </w:r>
          </w:p>
        </w:tc>
      </w:tr>
    </w:tbl>
    <w:p>
      <w:pPr>
        <w:spacing w:before="60" w:after="240"/>
        <w:jc w:val="left"/>
      </w:pPr>
      <w:r>
        <w:rPr>
          <w:rFonts w:ascii="Arial" w:hAnsi="Arial" w:cs="Arial"/>
          <w:i/>
          <w:iCs/>
          <w:sz w:val="18"/>
          <w:szCs w:val="18"/>
        </w:rPr>
        <w:t xml:space="preserve">Fuente: elaboración propia.</w:t>
      </w:r>
    </w:p>
    <w:p w:rsidR="00AC2941" w:rsidRPr="00AC2941" w:rsidRDefault="00AC2941" w:rsidP="00AC2941">
      <w:pPr>
        <w:rPr>
          <w:rFonts w:eastAsia="Arial" w:cs="Arial"/>
          <w:color w:val="000000" w:themeColor="text1"/>
        </w:rPr>
      </w:pPr>
      <w:r>
        <w:rPr>
          <w:b/>
          <w:bCs/>
        </w:rPr>
        <w:t xml:space="preserve">Incrementos / hitos.</w:t>
      </w:r>
      <w:r>
        <w:t xml:space="preserve"> Cada fase entrega un incremento tangible del producto final: Hito 1, el conjunto de datos optimizado; Hito 2, el modelo seleccionado con su escalador y su reporte comparativo; Hito 3, el sistema desplegado y validado. Llamarlos incrementos, y no solo fases terminadas, hace explícito el carácter escalable del método: el sistema crece por capas funcionales y cada capa se prueba antes de construir la siguiente.</w:t>
      </w:r>
    </w:p>
    <w:p w:rsidR="00AC2941" w:rsidRPr="00AC2941" w:rsidRDefault="00AC2941" w:rsidP="00AC2941">
      <w:pPr>
        <w:rPr>
          <w:rFonts w:eastAsia="Arial" w:cs="Arial"/>
          <w:color w:val="000000" w:themeColor="text1"/>
        </w:rPr>
      </w:pPr>
      <w:r>
        <w:rPr>
          <w:b/>
          <w:bCs/>
        </w:rPr>
        <w:t xml:space="preserve">Herramientas y su justificación.</w:t>
      </w:r>
      <w:r>
        <w:t xml:space="preserve"> La Tabla 2 lista las herramientas empleadas. Se eligió Python por su ecosistema de aprendizaje automático; scikit-learn [50] para los ensambles de árboles, la validación cruzada y las métricas; XGBoost [48] por su desempeño y velocidad en datos tabulares; TensorFlow/Keras para la red neuronal; thrember por ser el extractor oficial de EMBER2024, lo que garantiza que los archivos que analiza la interfaz se representan exactamente igual que los datos de entrenamiento; SHAP [44] y LIME [45] como técnicas de explicabilidad complementarias; Gradio [46] porque permite publicar una interfaz web con carga de archivos en pocas líneas y compartirla con los participantes de las pruebas; y Google Colab con Google Drive y GitHub como entorno de ejecución, persistencia y control de versiones, respectivamente.</w:t>
      </w:r>
    </w:p>
    <w:p>
      <w:pPr>
        <w:pStyle w:val="Descripcin"/>
        <w:keepNext/>
      </w:pPr>
      <w:r>
        <w:rPr>
          <w:rFonts w:ascii="Arial" w:hAnsi="Arial" w:cs="Arial"/>
          <w:b/>
          <w:bCs/>
          <w:color w:val="000000"/>
          <w:sz w:val="20"/>
          <w:szCs w:val="20"/>
        </w:rPr>
        <w:t xml:space="preserve">Tabla 2. Herramientas utilizadas en el proyecto</w:t>
      </w:r>
    </w:p>
    <w:tbl>
      <w:tblPr>
        <w:tblStyle w:val="Tablaconcuadrcula"/>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3700"/>
        <w:gridCol w:w="3700"/>
      </w:tblGrid>
      <w:tr>
        <w:trPr>
          <w:tblHeader/>
        </w:trPr>
        <w:tc>
          <w:tcPr>
            <w:tcW w:w="26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Herramienta</w:t>
            </w:r>
          </w:p>
        </w:tc>
        <w:tc>
          <w:tcPr>
            <w:tcW w:w="37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Uso en el proyecto</w:t>
            </w:r>
          </w:p>
        </w:tc>
        <w:tc>
          <w:tcPr>
            <w:tcW w:w="37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Justificación</w:t>
            </w:r>
          </w:p>
        </w:tc>
      </w:tr>
      <w:tr>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Python 3 / Google Colab</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Entorno de ejecución del notebook maestro</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Gratuito, reproducible y con GPU/CPU suficientes para el subconjunto usado</w:t>
            </w:r>
          </w:p>
        </w:tc>
      </w:tr>
      <w:tr>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thrember (EMBER feature v3)</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Extracción de las 2.568 características y vectorización</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Extractor oficial de EMBER2024; mismo formato en entrenamiento e interfaz</w:t>
            </w:r>
          </w:p>
        </w:tc>
      </w:tr>
      <w:tr>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pandas, NumPy, PyArrow</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Manejo de datos y almacenamiento en Parquet por bloques</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Permite trabajar con cientos de miles de vectores sin agotar la memoria</w:t>
            </w:r>
          </w:p>
        </w:tc>
      </w:tr>
      <w:tr>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scikit-learn</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Extra Trees, Random Forest, escalado, validación cruzada, métricas</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Implementaciones de referencia, ampliamente validadas</w:t>
            </w:r>
          </w:p>
        </w:tc>
      </w:tr>
      <w:tr>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XGBoost</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Modelo de gradient boosting</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Alto desempeño y baja latencia en datos tabulares</w:t>
            </w:r>
          </w:p>
        </w:tc>
      </w:tr>
      <w:tr>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TensorFlow / Keras</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Red neuronal densa</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Estándar para redes neuronales con parada temprana</w:t>
            </w:r>
          </w:p>
        </w:tc>
      </w:tr>
      <w:tr>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SHAP y LIME</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Explicaciones globales y locales; contraste entre técnicas</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Técnicas de XAI más usadas en la literatura de malware</w:t>
            </w:r>
          </w:p>
        </w:tc>
      </w:tr>
      <w:tr>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Gradio</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Interfaz web con carga de archivos</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Despliegue inmediato y enlace compartible para las pruebas con usuarios</w:t>
            </w:r>
          </w:p>
        </w:tc>
      </w:tr>
      <w:tr>
        <w:tc>
          <w:tcPr>
            <w:tcW w:w="2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Google Drive / GitHub</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Persistencia de datos, modelos y resultados; control de versiones</w:t>
            </w:r>
          </w:p>
        </w:tc>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Reproducibilidad y trazabilidad del proyecto</w:t>
            </w:r>
          </w:p>
        </w:tc>
      </w:tr>
    </w:tbl>
    <w:p>
      <w:pPr>
        <w:spacing w:before="60" w:after="240"/>
        <w:jc w:val="left"/>
      </w:pPr>
      <w:r>
        <w:rPr>
          <w:rFonts w:ascii="Arial" w:hAnsi="Arial" w:cs="Arial"/>
          <w:i/>
          <w:iCs/>
          <w:sz w:val="18"/>
          <w:szCs w:val="18"/>
        </w:rPr>
        <w:t xml:space="preserve">Fuente: elaboración propia.</w:t>
      </w:r>
    </w:p>
    <w:p w:rsidR="00AC2941" w:rsidRPr="00AC2941" w:rsidRDefault="00AC2941" w:rsidP="00AC2941">
      <w:pPr>
        <w:rPr>
          <w:rFonts w:eastAsia="Arial" w:cs="Arial"/>
          <w:color w:val="000000" w:themeColor="text1"/>
        </w:rPr>
      </w:pPr>
      <w:r>
        <w:rPr>
          <w:b/>
          <w:bCs/>
        </w:rPr>
        <w:t xml:space="preserve">Reproducibilidad y gestión de datos.</w:t>
      </w:r>
      <w:r>
        <w:t xml:space="preserve"> Todo el proceso está implementado en un único notebook de Google Colab organizado por fases, con una semilla fija (42) para todas las operaciones aleatorias, marcas de finalización por paso (de modo que una sesión interrumpida se retoma sin repetir trabajo) y exportación automática de los resultados que alimentan las tablas y figuras de este documento. Los datos, modelos y resultados se guardan en Google Drive y el código, los resúmenes y las figuras en el repositorio público del proyecto (github.com/jhgar059/repo_proyecto).</w:t>
      </w:r>
    </w:p>
    <w:p w:rsidR="00AC2941" w:rsidRPr="00AC2941" w:rsidRDefault="00AC2941" w:rsidP="00AC2941">
      <w:pPr>
        <w:rPr>
          <w:rFonts w:eastAsia="Arial" w:cs="Arial"/>
          <w:color w:val="000000" w:themeColor="text1"/>
        </w:rPr>
      </w:pPr>
      <w:r>
        <w:rPr>
          <w:b/>
          <w:bCs/>
        </w:rPr>
        <w:t xml:space="preserve">Salida.</w:t>
      </w:r>
      <w:r>
        <w:t xml:space="preserve"> El resultado global del proyecto es el sistema inteligente de detección de malware con explicaciones comprensibles, el repositorio reproducible (notebook, aplicación, resultados y figuras) y el presente documento de trabajo de grado.</w:t>
      </w:r>
    </w:p>
    <w:p w14:paraId="188D8E4D" w14:textId="25C98A5B" w:rsidR="003D29FA" w:rsidRPr="009E5483" w:rsidRDefault="003D29FA" w:rsidP="009E5483">
      <w:pPr>
        <w:pStyle w:val="Ttulo2"/>
        <w:rPr>
          <w:b/>
          <w:bCs/>
        </w:rPr>
      </w:pPr>
      <w:r>
        <w:t xml:space="preserve">DESARROLLO DEL PRIMER OBJETIVO</w:t>
      </w:r>
    </w:p>
    <w:p w14:paraId="6D0C2325" w14:textId="08D733CD" w:rsidR="00AC2941" w:rsidRPr="009E5483" w:rsidRDefault="001E5A50" w:rsidP="009E5483">
      <w:pPr>
        <w:pStyle w:val="Ttulo2"/>
        <w:rPr>
          <w:b/>
          <w:bCs/>
        </w:rPr>
      </w:pPr>
      <w:bookmarkStart w:id="45" w:name="_Toc240146218"/>
      <w:r>
        <w:rPr>
          <w:b/>
          <w:bCs/>
        </w:rPr>
        <w:t xml:space="preserve">CONSTRUCCIÓN DE UN CONJUNTO DE DATOS REPRESENTATIVO PARA LA DETECCIÓN DE MALWARE</w:t>
      </w:r>
      <w:bookmarkEnd w:id="45"/>
    </w:p>
    <w:p w:rsidR="00AC2941" w:rsidRPr="00AC2941" w:rsidRDefault="00AC2941" w:rsidP="00AC2941">
      <w:pPr>
        <w:rPr>
          <w:rFonts w:eastAsia="Arial" w:cs="Arial"/>
          <w:color w:val="000000" w:themeColor="text1"/>
        </w:rPr>
      </w:pPr>
      <w:r>
        <w:t xml:space="preserve">Este capítulo desarrolla el primer objetivo específico del proyecto: preparar un conjunto de datos representativo de archivos maliciosos y benignos, mediante su limpieza, la selección de las características relevantes y la reducción de su dimensionalidad, con el fin de disponer de una base de entrenamiento eficiente y libre de redundancias para el modelado. La Figura 2 resume el flujo completo de la fase.</w:t>
      </w:r>
    </w:p>
    <w:p>
      <w:pPr>
        <w:pStyle w:val="Descripcin"/>
        <w:keepNext/>
      </w:pPr>
      <w:r>
        <w:rPr>
          <w:rFonts w:ascii="Arial" w:hAnsi="Arial" w:cs="Arial"/>
          <w:b/>
          <w:bCs/>
          <w:color w:val="000000"/>
          <w:sz w:val="20"/>
          <w:szCs w:val="20"/>
        </w:rPr>
        <w:t xml:space="preserve">Figura 2. Flujo de construcción del conjunto de datos (Fase 1)</w:t>
      </w:r>
    </w:p>
    <w:p>
      <w:pPr>
        <w:keepNext/>
        <w:jc w:val="center"/>
      </w:pPr>
      <w:r>
        <w:drawing>
          <wp:inline xmlns:a="http://schemas.openxmlformats.org/drawingml/2006/main" xmlns:pic="http://schemas.openxmlformats.org/drawingml/2006/picture">
            <wp:extent cx="5580000" cy="2615475"/>
            <wp:docPr id="1925695355" name="Picture 1925695355"/>
            <wp:cNvGraphicFramePr>
              <a:graphicFrameLocks noChangeAspect="1"/>
            </wp:cNvGraphicFramePr>
            <a:graphic>
              <a:graphicData uri="http://schemas.openxmlformats.org/drawingml/2006/picture">
                <pic:pic>
                  <pic:nvPicPr>
                    <pic:cNvPr id="0" name="fig_flujo_datos.png"/>
                    <pic:cNvPicPr/>
                  </pic:nvPicPr>
                  <pic:blipFill>
                    <a:blip r:embed="rId20"/>
                    <a:stretch>
                      <a:fillRect/>
                    </a:stretch>
                  </pic:blipFill>
                  <pic:spPr>
                    <a:xfrm>
                      <a:off x="0" y="0"/>
                      <a:ext cx="5580000" cy="2615475"/>
                    </a:xfrm>
                    <a:prstGeom prst="rect"/>
                  </pic:spPr>
                </pic:pic>
              </a:graphicData>
            </a:graphic>
          </wp:inline>
        </w:drawing>
      </w:r>
    </w:p>
    <w:p>
      <w:pPr>
        <w:spacing w:before="60" w:after="240"/>
        <w:jc w:val="left"/>
      </w:pPr>
      <w:r>
        <w:rPr>
          <w:rFonts w:ascii="Arial" w:hAnsi="Arial" w:cs="Arial"/>
          <w:i/>
          <w:iCs/>
          <w:sz w:val="18"/>
          <w:szCs w:val="18"/>
        </w:rPr>
        <w:t xml:space="preserve">Fuente: elaboración propia.</w:t>
      </w:r>
    </w:p>
    <w:p>
      <w:pPr>
        <w:pStyle w:val="Ttulo3"/>
      </w:pPr>
      <w:r>
        <w:t xml:space="preserve">Selección y descripción del conjunto de datos</w:t>
      </w:r>
    </w:p>
    <w:p w:rsidR="00AC2941" w:rsidRPr="00AC2941" w:rsidRDefault="00AC2941" w:rsidP="00AC2941">
      <w:pPr>
        <w:rPr>
          <w:rFonts w:eastAsia="Arial" w:cs="Arial"/>
          <w:color w:val="000000" w:themeColor="text1"/>
        </w:rPr>
      </w:pPr>
      <w:r>
        <w:t xml:space="preserve">Para la construcción de la base de datos de entrenamiento se evaluaron los conjuntos de datos públicos disponibles para la detección de malware mediante análisis estático de ejecutables de Windows, resumidos en la Tabla 3. EMBER2018 [14] fue durante años el estándar de facto, pero sus muestras datan de 2017-2018 y su prueba resulta hoy demasiado fácil para los clasificadores modernos [54]; BODMAS [55] y SOREL-20M [56] aportan más muestras y fechas, pero también anteriores a 2021; CIC-MalMem-2022 [57] describe volcados de memoria (análisis dinámico), por lo que no permite analizar un archivo antes de ejecutarlo, que es el caso de uso del proyecto; y los conjuntos publicados en plataformas como Kaggle [88] carecen de documentación suficiente sobre el origen y el etiquetado de las muestras. Se seleccionó </w:t>
      </w:r>
      <w:r>
        <w:rPr>
          <w:b/>
          <w:bCs/>
        </w:rPr>
        <w:t xml:space="preserve">EMBER2024</w:t>
      </w:r>
      <w:r>
        <w:t xml:space="preserve"> [1] por ser el conjunto más reciente y completo: archivos recolectados entre septiembre de 2023 y diciembre de 2024, etiquetas obtenidas de un consenso de motores antivirus, una partición de prueba estrictamente posterior al entrenamiento, un conjunto de desafío de malware evasivo y un extractor de características de código abierto que permite representar cualquier archivo nuevo exactamente igual que los datos de entrenamiento.</w:t>
      </w:r>
    </w:p>
    <w:p>
      <w:pPr>
        <w:pStyle w:val="Descripcin"/>
        <w:keepNext/>
      </w:pPr>
      <w:r>
        <w:rPr>
          <w:rFonts w:ascii="Arial" w:hAnsi="Arial" w:cs="Arial"/>
          <w:b/>
          <w:bCs/>
          <w:color w:val="000000"/>
          <w:sz w:val="20"/>
          <w:szCs w:val="20"/>
        </w:rPr>
        <w:t xml:space="preserve">Tabla 3. Conjuntos de datos públicos evaluados para el proyecto</w:t>
      </w:r>
    </w:p>
    <w:tbl>
      <w:tblPr>
        <w:tblStyle w:val="Tablaconcuadrcula"/>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00"/>
        <w:gridCol w:w="1500"/>
        <w:gridCol w:w="2200"/>
        <w:gridCol w:w="2500"/>
        <w:gridCol w:w="1900"/>
      </w:tblGrid>
      <w:tr>
        <w:trPr>
          <w:tblHeader/>
        </w:trPr>
        <w:tc>
          <w:tcPr>
            <w:tcW w:w="19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Conjunto de datos</w:t>
            </w:r>
          </w:p>
        </w:tc>
        <w:tc>
          <w:tcPr>
            <w:tcW w:w="15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Tipo de análisis</w:t>
            </w:r>
          </w:p>
        </w:tc>
        <w:tc>
          <w:tcPr>
            <w:tcW w:w="22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Muestras y periodo</w:t>
            </w:r>
          </w:p>
        </w:tc>
        <w:tc>
          <w:tcPr>
            <w:tcW w:w="25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Etiquetas y particiones</w:t>
            </w:r>
          </w:p>
        </w:tc>
        <w:tc>
          <w:tcPr>
            <w:tcW w:w="19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Decisión</w:t>
            </w:r>
          </w:p>
        </w:tc>
      </w:tr>
      <w:tr>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EMBER2018 [14]</w:t>
            </w:r>
          </w:p>
        </w:tc>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Estático (PE)</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1.000.000 archivos PE; 2017-2018</w:t>
            </w:r>
          </w:p>
        </w:tc>
        <w:tc>
          <w:tcPr>
            <w:tcW w:w="2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Benigno/malicioso; 800.000 train (200.000 sin etiqueta) / 200.000 test</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Descartado: datos antiguos, prueba saturada (AUC 0,999)</w:t>
            </w:r>
          </w:p>
        </w:tc>
      </w:tr>
      <w:tr>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BODMAS [55]</w:t>
            </w:r>
          </w:p>
        </w:tc>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Estático (PE)</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134.435 archivos PE; 2019-2020</w:t>
            </w:r>
          </w:p>
        </w:tc>
        <w:tc>
          <w:tcPr>
            <w:tcW w:w="2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Binaria y 581 familias; fechado</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Descartado: menor tamaño y antigüedad</w:t>
            </w:r>
          </w:p>
        </w:tc>
      </w:tr>
      <w:tr>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SOREL-20M [56]</w:t>
            </w:r>
          </w:p>
        </w:tc>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Estático (PE)</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 20 millones de archivos PE; 2017-2019</w:t>
            </w:r>
          </w:p>
        </w:tc>
        <w:tc>
          <w:tcPr>
            <w:tcW w:w="2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Binaria y etiquetas de comportamiento</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Descartado: tamaño inviable en Colab y datos anteriores a 2020</w:t>
            </w:r>
          </w:p>
        </w:tc>
      </w:tr>
      <w:tr>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CIC-MalMem-2022 [57]</w:t>
            </w:r>
          </w:p>
        </w:tc>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Dinámico (memoria)</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58.596 registros de volcados de memoria</w:t>
            </w:r>
          </w:p>
        </w:tc>
        <w:tc>
          <w:tcPr>
            <w:tcW w:w="2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Benigno/malicioso y familias</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Descartado: requiere ejecutar el archivo</w:t>
            </w:r>
          </w:p>
        </w:tc>
      </w:tr>
      <w:tr>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Polymorphic Malware Dataset [88]</w:t>
            </w:r>
          </w:p>
        </w:tc>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Estático</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Publicado en Kaggle, 2025</w:t>
            </w:r>
          </w:p>
        </w:tc>
        <w:tc>
          <w:tcPr>
            <w:tcW w:w="2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Sin documentación formal del etiquetado</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Descartado: origen no verificable</w:t>
            </w:r>
          </w:p>
        </w:tc>
      </w:tr>
      <w:tr>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EMBER2024 [1]</w:t>
            </w:r>
          </w:p>
        </w:tc>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Estático (PE y otros)</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3.238.315 archivos; sep. 2023 - dic. 2024</w:t>
            </w:r>
          </w:p>
        </w:tc>
        <w:tc>
          <w:tcPr>
            <w:tcW w:w="2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Binaria, familia, comportamiento; train 52 semanas / test 12 semanas / desafío</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Seleccionado</w:t>
            </w:r>
          </w:p>
        </w:tc>
      </w:tr>
    </w:tbl>
    <w:p>
      <w:pPr>
        <w:spacing w:before="60" w:after="240"/>
        <w:jc w:val="left"/>
      </w:pPr>
      <w:r>
        <w:rPr>
          <w:rFonts w:ascii="Arial" w:hAnsi="Arial" w:cs="Arial"/>
          <w:i/>
          <w:iCs/>
          <w:sz w:val="18"/>
          <w:szCs w:val="18"/>
        </w:rPr>
        <w:t xml:space="preserve">Fuente: elaboración propia a partir de las publicaciones de cada conjunto de datos.</w:t>
      </w:r>
    </w:p>
    <w:p>
      <w:pPr>
        <w:pStyle w:val="Ttulo3"/>
      </w:pPr>
      <w:r>
        <w:t xml:space="preserve">Identificación del conjunto de datos</w:t>
      </w:r>
    </w:p>
    <w:p w:rsidR="00AC2941" w:rsidRPr="00AC2941" w:rsidRDefault="00AC2941" w:rsidP="00AC2941">
      <w:pPr>
        <w:rPr>
          <w:rFonts w:eastAsia="Arial" w:cs="Arial"/>
          <w:color w:val="000000" w:themeColor="text1"/>
        </w:rPr>
      </w:pPr>
      <w:r>
        <w:t xml:space="preserve">La Tabla 4 identifica el conjunto de datos seleccionado, su procedencia, su licencia y la forma en que fueron etiquetados sus archivos.</w:t>
      </w:r>
    </w:p>
    <w:p>
      <w:pPr>
        <w:pStyle w:val="Descripcin"/>
        <w:keepNext/>
      </w:pPr>
      <w:r>
        <w:rPr>
          <w:rFonts w:ascii="Arial" w:hAnsi="Arial" w:cs="Arial"/>
          <w:b/>
          <w:bCs/>
          <w:color w:val="000000"/>
          <w:sz w:val="20"/>
          <w:szCs w:val="20"/>
        </w:rPr>
        <w:t xml:space="preserve">Tabla 4. Identificación del conjunto de datos EMBER2024</w:t>
      </w:r>
    </w:p>
    <w:tbl>
      <w:tblPr>
        <w:tblStyle w:val="Tablaconcuadrcula"/>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00"/>
        <w:gridCol w:w="7200"/>
      </w:tblGrid>
      <w:tr>
        <w:trPr>
          <w:tblHeader/>
        </w:trPr>
        <w:tc>
          <w:tcPr>
            <w:tcW w:w="28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Atributo</w:t>
            </w:r>
          </w:p>
        </w:tc>
        <w:tc>
          <w:tcPr>
            <w:tcW w:w="72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Descripción</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Nombre completo</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EMBER2024 – A Benchmark Dataset for Holistic Evaluation of Malware Classifiers</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Versión utilizada</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EMBER2024, EMBER feature version 3 (extractor thrember)</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Autores</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Robert J. Joyce, Gideon Miller, Phil Roth, Richard Zak, Elliott Zaresky-Williams, Hyrum Anderson, Edward Raff y James Holt</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Publicación de referencia</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Joyce et al. Proceedings of the 31st ACM SIGKDD Conference on Knowledge Discovery and Data Mining (KDD '25), 2025 [1]</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Repositorios oficiales</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github.com/FutureComputing4AI/EMBER2024 (código) y huggingface.co/datasets/joyce8/EMBER2024 (datos)</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Licencia</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Apache 2.0 (código y datos): acceso abierto para investigación</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Periodo de recolección</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24 de septiembre de 2023 a 14 de diciembre de 2024 (64 semanas; 50.500 archivos por semana)</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Etiquetado</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Consenso de motores antivirus de VirusTotal: benigno si ningún motor lo detecta tras un nuevo análisis 30 días después; malicioso si lo detectan cinco o más motores; familias asignadas con ClarAVy</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Tipo de análisis</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Estático (sin ejecución del archivo)</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Formatos incluidos</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Win32, Win64, .NET, APK, ELF y PDF; en este proyecto se usan los tres formatos PE de Windows</w:t>
            </w:r>
          </w:p>
        </w:tc>
      </w:tr>
      <w:tr>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Contenido por archivo</w:t>
            </w:r>
          </w:p>
        </w:tc>
        <w:tc>
          <w:tcPr>
            <w:tcW w:w="7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Características crudas en JSON (12 grupos), SHA-256, TLSH, fechas, etiqueta, tipo, familia, comportamiento y otras etiquetas</w:t>
            </w:r>
          </w:p>
        </w:tc>
      </w:tr>
    </w:tbl>
    <w:p>
      <w:pPr>
        <w:spacing w:before="60" w:after="240"/>
        <w:jc w:val="left"/>
      </w:pPr>
      <w:r>
        <w:rPr>
          <w:rFonts w:ascii="Arial" w:hAnsi="Arial" w:cs="Arial"/>
          <w:i/>
          <w:iCs/>
          <w:sz w:val="18"/>
          <w:szCs w:val="18"/>
        </w:rPr>
        <w:t xml:space="preserve">Fuente: elaboración propia a partir de Joyce et al. [1] y del repositorio oficial.</w:t>
      </w:r>
    </w:p>
    <w:p>
      <w:pPr>
        <w:pStyle w:val="Ttulo3"/>
      </w:pPr>
      <w:r>
        <w:t xml:space="preserve">Tamaño y estructura general</w:t>
      </w:r>
    </w:p>
    <w:p w:rsidR="00AC2941" w:rsidRPr="00AC2941" w:rsidRDefault="00AC2941" w:rsidP="00AC2941">
      <w:pPr>
        <w:rPr>
          <w:rFonts w:eastAsia="Arial" w:cs="Arial"/>
          <w:color w:val="000000" w:themeColor="text1"/>
        </w:rPr>
      </w:pPr>
      <w:r>
        <w:t xml:space="preserve">EMBER2024 contiene 3.238.315 archivos: 2.626.000 de entrenamiento (las primeras 52 semanas), 606.000 de prueba (las 12 semanas finales) y 6.315 del conjunto de desafío [1]. La Figura 3 muestra su composición por formato y partición. Dado que el sistema propuesto analiza ejecutables de Windows, el proyecto trabaja con el subconjunto PE (Win32, Win64 y .NET), que suma 2.340.000 archivos de entrenamiento, 540.000 de prueba temporal y 4.868 de desafío (conteo obtenido del propio conjunto descargado). Como los archivos crudos de ese subconjunto ocupan cerca de 46 GB, muy por encima de la memoria y el disco disponibles en Google Colab gratuito, el entrenamiento se muestreó de manera aleatoria y determinista (semilla 42) con una fracción nominal de 1/8 por registro —lo que conserva las proporciones por formato, semana y clase—, mientras que la prueba temporal y el conjunto de desafío se procesaron completos, pues son los que sustentan las conclusiones. Durante la construcción se detectó que los archivos comprimidos de entrenamiento y de prueba publicados en Hugging Face contienen cada registro por duplicado: la lectura completa de la prueba produjo 1.080.000 registros que, al deduplicar por SHA-256, correspondieron a 539.940 archivos únicos, y de los 585.371 registros muestreados del entrenamiento quedaron 548.997 archivos únicos, es decir, una muestra efectiva del 23,5 % del entrenamiento PE (cada archivo tuvo dos oportunidades de ser seleccionado con probabilidad 1/8). Toda la selección de características, el modelado y la evaluación se hicieron sobre los archivos únicos. La Tabla 5 presenta la composición del conjunto construido y la Figura 4 la ilustra.</w:t>
      </w:r>
    </w:p>
    <w:p>
      <w:pPr>
        <w:pStyle w:val="Descripcin"/>
        <w:keepNext/>
      </w:pPr>
      <w:r>
        <w:rPr>
          <w:rFonts w:ascii="Arial" w:hAnsi="Arial" w:cs="Arial"/>
          <w:b/>
          <w:bCs/>
          <w:color w:val="000000"/>
          <w:sz w:val="20"/>
          <w:szCs w:val="20"/>
        </w:rPr>
        <w:t xml:space="preserve">Figura 3. Composición publicada de EMBER2024 por formato y partición; se resalta el subconjunto PE usado en el proyecto</w:t>
      </w:r>
    </w:p>
    <w:p>
      <w:pPr>
        <w:keepNext/>
        <w:jc w:val="center"/>
      </w:pPr>
      <w:r>
        <w:drawing>
          <wp:inline xmlns:a="http://schemas.openxmlformats.org/drawingml/2006/main" xmlns:pic="http://schemas.openxmlformats.org/drawingml/2006/picture">
            <wp:extent cx="5400000" cy="2563608"/>
            <wp:docPr id="1925695356" name="Picture 1925695356"/>
            <wp:cNvGraphicFramePr>
              <a:graphicFrameLocks noChangeAspect="1"/>
            </wp:cNvGraphicFramePr>
            <a:graphic>
              <a:graphicData uri="http://schemas.openxmlformats.org/drawingml/2006/picture">
                <pic:pic>
                  <pic:nvPicPr>
                    <pic:cNvPr id="0" name="fig_ember2024_composicion.png"/>
                    <pic:cNvPicPr/>
                  </pic:nvPicPr>
                  <pic:blipFill>
                    <a:blip r:embed="rId21"/>
                    <a:stretch>
                      <a:fillRect/>
                    </a:stretch>
                  </pic:blipFill>
                  <pic:spPr>
                    <a:xfrm>
                      <a:off x="0" y="0"/>
                      <a:ext cx="5400000" cy="2563608"/>
                    </a:xfrm>
                    <a:prstGeom prst="rect"/>
                  </pic:spPr>
                </pic:pic>
              </a:graphicData>
            </a:graphic>
          </wp:inline>
        </w:drawing>
      </w:r>
    </w:p>
    <w:p>
      <w:pPr>
        <w:spacing w:before="60" w:after="240"/>
        <w:jc w:val="left"/>
      </w:pPr>
      <w:r>
        <w:rPr>
          <w:rFonts w:ascii="Arial" w:hAnsi="Arial" w:cs="Arial"/>
          <w:i/>
          <w:iCs/>
          <w:sz w:val="18"/>
          <w:szCs w:val="18"/>
        </w:rPr>
        <w:t xml:space="preserve">Fuente: elaboración propia a partir de Joyce et al. [1].</w:t>
      </w:r>
    </w:p>
    <w:p>
      <w:pPr>
        <w:pStyle w:val="Descripcin"/>
        <w:keepNext/>
      </w:pPr>
      <w:r>
        <w:rPr>
          <w:rFonts w:ascii="Arial" w:hAnsi="Arial" w:cs="Arial"/>
          <w:b/>
          <w:bCs/>
          <w:color w:val="000000"/>
          <w:sz w:val="20"/>
          <w:szCs w:val="20"/>
        </w:rPr>
        <w:t xml:space="preserve">Tabla 5. Composición del conjunto de datos construido a partir del subconjunto PE de EMBER2024</w:t>
      </w:r>
    </w:p>
    <w:tbl>
      <w:tblPr>
        <w:tblStyle w:val="Tablaconcuadrcula"/>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900"/>
        <w:gridCol w:w="1900"/>
        <w:gridCol w:w="1300"/>
        <w:gridCol w:w="1400"/>
        <w:gridCol w:w="1300"/>
        <w:gridCol w:w="1200"/>
      </w:tblGrid>
      <w:tr>
        <w:trPr>
          <w:tblHeader/>
        </w:trPr>
        <w:tc>
          <w:tcPr>
            <w:tcW w:w="29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Partición</w:t>
            </w:r>
          </w:p>
        </w:tc>
        <w:tc>
          <w:tcPr>
            <w:tcW w:w="19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Formato</w:t>
            </w:r>
          </w:p>
        </w:tc>
        <w:tc>
          <w:tcPr>
            <w:tcW w:w="13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Benignos</w:t>
            </w:r>
          </w:p>
        </w:tc>
        <w:tc>
          <w:tcPr>
            <w:tcW w:w="14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Maliciosos</w:t>
            </w:r>
          </w:p>
        </w:tc>
        <w:tc>
          <w:tcPr>
            <w:tcW w:w="13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Registros vectorizados</w:t>
            </w:r>
          </w:p>
        </w:tc>
        <w:tc>
          <w:tcPr>
            <w:tcW w:w="12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Semanas</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Entrenamiento (muestra)</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Win32</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195.651</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194.841</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390.492</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0-51</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Entrenamiento (muestra)</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Win64</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64.820</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65.072</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129.892</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0-51</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Entrenamiento (muestra)</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.NET</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32.476</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32.511</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64.987</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0-51</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Prueba temporal (completa)</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Win32</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360.000</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360.000</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720.000</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52-63</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Prueba temporal (completa)</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Win64</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120.000</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120.000</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240.000</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52-63</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Prueba temporal (completa)</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.NET</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60.000</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60.000</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120.000</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52-63</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Desafío (completo)</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Win32 / Win64 / .NET</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w:t>
            </w:r>
          </w:p>
        </w:tc>
        <w:tc>
          <w:tcPr>
            <w:tcW w:w="1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3.225 / 814 / 829</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4.868</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0-63</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Archivos únicos tras deduplicar (SHA-256)</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Entrenamiento</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50,03 %</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49,97 %</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548.997</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0-51</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Archivos únicos tras deduplicar (SHA-256)</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Prueba temporal</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49,99 %</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50,01 %</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539.940</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52-63</w:t>
            </w:r>
          </w:p>
        </w:tc>
      </w:tr>
      <w:tr>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Archivos únicos tras deduplicar (SHA-256)</w:t>
            </w:r>
          </w:p>
        </w:tc>
        <w:tc>
          <w:tcPr>
            <w:tcW w:w="1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Desafío</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0 %</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100 %</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4.868</w:t>
            </w:r>
          </w:p>
        </w:tc>
        <w:tc>
          <w:tcPr>
            <w:tcW w:w="12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0-63</w:t>
            </w:r>
          </w:p>
        </w:tc>
      </w:tr>
    </w:tbl>
    <w:p>
      <w:pPr>
        <w:spacing w:before="60" w:after="240"/>
        <w:jc w:val="left"/>
      </w:pPr>
      <w:r>
        <w:rPr>
          <w:rFonts w:ascii="Arial" w:hAnsi="Arial" w:cs="Arial"/>
          <w:i/>
          <w:iCs/>
          <w:sz w:val="18"/>
          <w:szCs w:val="18"/>
        </w:rPr>
        <w:t xml:space="preserve">Fuente: elaboración propia (notebook, Fase 1a: datos/resumen_datos.csv; Fase 1b: fase1_resumen.json). Los registros vectorizados incluyen las dos copias de cada archivo presentes en los .zip; las tres últimas filas corresponden a los archivos únicos con los que se trabajó.</w:t>
      </w:r>
    </w:p>
    <w:p>
      <w:pPr>
        <w:pStyle w:val="Descripcin"/>
        <w:keepNext/>
      </w:pPr>
      <w:r>
        <w:rPr>
          <w:rFonts w:ascii="Arial" w:hAnsi="Arial" w:cs="Arial"/>
          <w:b/>
          <w:bCs/>
          <w:color w:val="000000"/>
          <w:sz w:val="20"/>
          <w:szCs w:val="20"/>
        </w:rPr>
        <w:t xml:space="preserve">Figura 4. Composición del conjunto construido: registros vectorizados por partición, formato y clase (antes de la deduplicación)</w:t>
      </w:r>
    </w:p>
    <w:p>
      <w:pPr>
        <w:keepNext/>
        <w:jc w:val="center"/>
      </w:pPr>
      <w:r>
        <w:drawing>
          <wp:inline xmlns:a="http://schemas.openxmlformats.org/drawingml/2006/main" xmlns:pic="http://schemas.openxmlformats.org/drawingml/2006/picture">
            <wp:extent cx="5220000" cy="3170312"/>
            <wp:docPr id="1925695357" name="Picture 1925695357"/>
            <wp:cNvGraphicFramePr>
              <a:graphicFrameLocks noChangeAspect="1"/>
            </wp:cNvGraphicFramePr>
            <a:graphic>
              <a:graphicData uri="http://schemas.openxmlformats.org/drawingml/2006/picture">
                <pic:pic>
                  <pic:nvPicPr>
                    <pic:cNvPr id="0" name="fig_composicion_dataset.png"/>
                    <pic:cNvPicPr/>
                  </pic:nvPicPr>
                  <pic:blipFill>
                    <a:blip r:embed="rId22"/>
                    <a:stretch>
                      <a:fillRect/>
                    </a:stretch>
                  </pic:blipFill>
                  <pic:spPr>
                    <a:xfrm>
                      <a:off x="0" y="0"/>
                      <a:ext cx="5220000" cy="3170312"/>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1b).</w:t>
      </w:r>
    </w:p>
    <w:p>
      <w:pPr>
        <w:pStyle w:val="Ttulo3"/>
      </w:pPr>
      <w:r>
        <w:t xml:space="preserve">Diccionario de datos: grupos de características</w:t>
      </w:r>
    </w:p>
    <w:p w:rsidR="00AC2941" w:rsidRPr="00AC2941" w:rsidRDefault="00AC2941" w:rsidP="00AC2941">
      <w:pPr>
        <w:rPr>
          <w:rFonts w:eastAsia="Arial" w:cs="Arial"/>
          <w:color w:val="000000" w:themeColor="text1"/>
        </w:rPr>
      </w:pPr>
      <w:r>
        <w:t xml:space="preserve">Cada archivo PE se representa como un vector de </w:t>
      </w:r>
      <w:r>
        <w:rPr>
          <w:b/>
          <w:bCs/>
        </w:rPr>
        <w:t xml:space="preserve">2.568</w:t>
      </w:r>
      <w:r>
        <w:t xml:space="preserve"> valores numéricos (float32), resultado de concatenar los 12 grupos de características que calcula el extractor thrember de forma estática, en el orden que muestran la Figura 5 y la Tabla 6. Frente a EMBER2018 (2.381 valores en 9 grupos), la versión 3 del formato agrega información del encabezado DOS, del Rich header, de la firma Authenticode y de las advertencias que produce el analizador del formato PE, además de 77 patrones de cadenas (URLs, direcciones IP, rutas, comandos de PowerShell, base64, entre otros) [1]. Los grupos de secciones, importaciones, exportaciones y Rich header usan el hashing trick, por lo que cada posición resume un conjunto de nombres y no un atributo individual; el notebook construye un nombre legible para cada una de las 2.568 posiciones (por ejemplo, f1060 → imports.lib_hash_066) que se usa en las figuras y en las explicaciones de la interfaz.</w:t>
      </w:r>
    </w:p>
    <w:p>
      <w:pPr>
        <w:pStyle w:val="Descripcin"/>
        <w:keepNext/>
      </w:pPr>
      <w:r>
        <w:rPr>
          <w:rFonts w:ascii="Arial" w:hAnsi="Arial" w:cs="Arial"/>
          <w:b/>
          <w:bCs/>
          <w:color w:val="000000"/>
          <w:sz w:val="20"/>
          <w:szCs w:val="20"/>
        </w:rPr>
        <w:t xml:space="preserve">Figura 5. Estructura del vector de 2.568 características de EMBER feature version 3</w:t>
      </w:r>
    </w:p>
    <w:p>
      <w:pPr>
        <w:keepNext/>
        <w:jc w:val="center"/>
      </w:pPr>
      <w:r>
        <w:drawing>
          <wp:inline xmlns:a="http://schemas.openxmlformats.org/drawingml/2006/main" xmlns:pic="http://schemas.openxmlformats.org/drawingml/2006/picture">
            <wp:extent cx="5580000" cy="1986772"/>
            <wp:docPr id="1925695358" name="Picture 1925695358"/>
            <wp:cNvGraphicFramePr>
              <a:graphicFrameLocks noChangeAspect="1"/>
            </wp:cNvGraphicFramePr>
            <a:graphic>
              <a:graphicData uri="http://schemas.openxmlformats.org/drawingml/2006/picture">
                <pic:pic>
                  <pic:nvPicPr>
                    <pic:cNvPr id="0" name="fig_vector_caracteristicas.png"/>
                    <pic:cNvPicPr/>
                  </pic:nvPicPr>
                  <pic:blipFill>
                    <a:blip r:embed="rId23"/>
                    <a:stretch>
                      <a:fillRect/>
                    </a:stretch>
                  </pic:blipFill>
                  <pic:spPr>
                    <a:xfrm>
                      <a:off x="0" y="0"/>
                      <a:ext cx="5580000" cy="1986772"/>
                    </a:xfrm>
                    <a:prstGeom prst="rect"/>
                  </pic:spPr>
                </pic:pic>
              </a:graphicData>
            </a:graphic>
          </wp:inline>
        </w:drawing>
      </w:r>
    </w:p>
    <w:p>
      <w:pPr>
        <w:spacing w:before="60" w:after="240"/>
        <w:jc w:val="left"/>
      </w:pPr>
      <w:r>
        <w:rPr>
          <w:rFonts w:ascii="Arial" w:hAnsi="Arial" w:cs="Arial"/>
          <w:i/>
          <w:iCs/>
          <w:sz w:val="18"/>
          <w:szCs w:val="18"/>
        </w:rPr>
        <w:t xml:space="preserve">Fuente: elaboración propia a partir del código del extractor thrember.</w:t>
      </w:r>
    </w:p>
    <w:p>
      <w:pPr>
        <w:pStyle w:val="Descripcin"/>
        <w:keepNext/>
      </w:pPr>
      <w:r>
        <w:rPr>
          <w:rFonts w:ascii="Arial" w:hAnsi="Arial" w:cs="Arial"/>
          <w:b/>
          <w:bCs/>
          <w:color w:val="000000"/>
          <w:sz w:val="20"/>
          <w:szCs w:val="20"/>
        </w:rPr>
        <w:t xml:space="preserve">Tabla 6. Diccionario de datos: grupos de características del vector EMBER2024</w:t>
      </w:r>
    </w:p>
    <w:tbl>
      <w:tblPr>
        <w:tblStyle w:val="Tablaconcuadrcula"/>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00"/>
        <w:gridCol w:w="2300"/>
        <w:gridCol w:w="1000"/>
        <w:gridCol w:w="1700"/>
        <w:gridCol w:w="4400"/>
      </w:tblGrid>
      <w:tr>
        <w:trPr>
          <w:tblHeader/>
        </w:trPr>
        <w:tc>
          <w:tcPr>
            <w:tcW w:w="6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N.º</w:t>
            </w:r>
          </w:p>
        </w:tc>
        <w:tc>
          <w:tcPr>
            <w:tcW w:w="23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Grupo</w:t>
            </w:r>
          </w:p>
        </w:tc>
        <w:tc>
          <w:tcPr>
            <w:tcW w:w="10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N.º var.</w:t>
            </w:r>
          </w:p>
        </w:tc>
        <w:tc>
          <w:tcPr>
            <w:tcW w:w="17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Tipo de dato</w:t>
            </w:r>
          </w:p>
        </w:tc>
        <w:tc>
          <w:tcPr>
            <w:tcW w:w="44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Qué describe</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Información general</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7</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Entero / float</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Tamaño, entropía global, indicador de formato PE y los cuatro primeros bytes del archivo</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2</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Histograma de bytes</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256</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Float [0,1]</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Frecuencia normalizada de cada valor de byte posible en el archivo</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3</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Histograma byte-entropía</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256</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Float [0,1]</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Distribución conjunta de valor de byte y entropía local en ventanas de 2 KB; detecta código empaquetado o cifrado</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4</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Cadenas de texto</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177</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Entero / float</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Número, longitud media y distribución de caracteres de las cadenas imprimibles, entropía y conteo de 77 patrones (URLs, IPs, rutas, PowerShell, base64, palabras clave)</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5</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Encabezados PE</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74</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Entero / categórico</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Campos de los encabezados COFF, opcional y DOS: timestamp, máquina, subsistema, tamaños, banderas de imagen y de DLL</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6</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Secciones</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224</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Entero (hashing)</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Número, tamaños, entropía y permisos de las secciones, sección de entrada y datos del overlay</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7</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Importaciones</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1.282</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Entero (hashing)</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Librerías y funciones del sistema operativo que el archivo importa</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8</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Exportaciones</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129</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Entero (hashing)</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Funciones que el archivo expone (típico en DLL)</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9</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Directorios de datos</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34</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Entero</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Tamaño y dirección virtual de los 16 directorios de datos del PE e indicadores de reubicación</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10</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Rich header</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33</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Entero (hashing)</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Herramientas y versiones del compilador/enlazador registradas en el Rich header</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11</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Firma Authenticode</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8</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Entero</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Número de certificados, autofirma, contrafirma, profundidad de la cadena y tiempos de firma</w:t>
            </w:r>
          </w:p>
        </w:tc>
      </w:tr>
      <w:tr>
        <w:tc>
          <w:tcPr>
            <w:tcW w:w="6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12</w:t>
            </w: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Advertencias de formato</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88</w:t>
            </w:r>
          </w:p>
        </w:tc>
        <w:tc>
          <w:tcPr>
            <w:tcW w:w="17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Binario / entero</w:t>
            </w:r>
          </w:p>
        </w:tc>
        <w:tc>
          <w:tcPr>
            <w:tcW w:w="44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Anomalías estructurales detectadas por pefile al analizar el archivo (87 advertencias y su conteo)</w:t>
            </w:r>
          </w:p>
        </w:tc>
      </w:tr>
      <w:tr>
        <w:tc>
          <w:tcPr>
            <w:tcW w:w="600" w:type="dxa"/>
            <w:tcMar>
              <w:top w:w="60" w:type="dxa"/>
              <w:left w:w="100" w:type="dxa"/>
              <w:bottom w:w="60" w:type="dxa"/>
              <w:right w:w="100" w:type="dxa"/>
            </w:tcMar>
            <w:vAlign w:val="center"/>
          </w:tcPr>
          <w:p>
            <w:pPr>
              <w:spacing w:before="0" w:after="0"/>
              <w:jc w:val="left"/>
            </w:pPr>
          </w:p>
        </w:tc>
        <w:tc>
          <w:tcPr>
            <w:tcW w:w="2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TOTAL</w:t>
            </w:r>
          </w:p>
        </w:tc>
        <w:tc>
          <w:tcPr>
            <w:tcW w:w="10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2.568</w:t>
            </w:r>
          </w:p>
        </w:tc>
        <w:tc>
          <w:tcPr>
            <w:tcW w:w="1700" w:type="dxa"/>
            <w:tcMar>
              <w:top w:w="60" w:type="dxa"/>
              <w:left w:w="100" w:type="dxa"/>
              <w:bottom w:w="60" w:type="dxa"/>
              <w:right w:w="100" w:type="dxa"/>
            </w:tcMar>
            <w:vAlign w:val="center"/>
          </w:tcPr>
          <w:p>
            <w:pPr>
              <w:spacing w:before="0" w:after="0"/>
              <w:jc w:val="left"/>
            </w:pPr>
          </w:p>
        </w:tc>
        <w:tc>
          <w:tcPr>
            <w:tcW w:w="4400" w:type="dxa"/>
            <w:tcMar>
              <w:top w:w="60" w:type="dxa"/>
              <w:left w:w="100" w:type="dxa"/>
              <w:bottom w:w="60" w:type="dxa"/>
              <w:right w:w="100" w:type="dxa"/>
            </w:tcMar>
            <w:vAlign w:val="center"/>
          </w:tcPr>
          <w:p>
            <w:pPr>
              <w:spacing w:before="0" w:after="0"/>
              <w:jc w:val="left"/>
            </w:pPr>
          </w:p>
        </w:tc>
      </w:tr>
    </w:tbl>
    <w:p>
      <w:pPr>
        <w:spacing w:before="60" w:after="240"/>
        <w:jc w:val="left"/>
      </w:pPr>
      <w:r>
        <w:rPr>
          <w:rFonts w:ascii="Arial" w:hAnsi="Arial" w:cs="Arial"/>
          <w:i/>
          <w:iCs/>
          <w:sz w:val="18"/>
          <w:szCs w:val="18"/>
        </w:rPr>
        <w:t xml:space="preserve">Fuente: elaboración propia a partir del código del extractor thrember (EMBER2024).</w:t>
      </w:r>
    </w:p>
    <w:p>
      <w:pPr>
        <w:pStyle w:val="Ttulo3"/>
      </w:pPr>
      <w:r>
        <w:t xml:space="preserve">Preprocesamiento y verificación del balance de clases</w:t>
      </w:r>
    </w:p>
    <w:p w:rsidR="00AC2941" w:rsidRPr="00AC2941" w:rsidRDefault="00AC2941" w:rsidP="00AC2941">
      <w:pPr>
        <w:rPr>
          <w:rFonts w:eastAsia="Arial" w:cs="Arial"/>
          <w:color w:val="000000" w:themeColor="text1"/>
        </w:rPr>
      </w:pPr>
      <w:r>
        <w:t xml:space="preserve">Sobre el conjunto construido se aplicaron los procesos de limpieza descritos en la metodología: eliminación de archivos duplicados (por SHA-256), sustitución de valores no finitos por cero, eliminación de las columnas constantes (posiciones del vector que no varían en la muestra y que, por tanto, no aportan información) y verificación de la distribución de clases. A diferencia de muchos conjuntos de malware, en los que los archivos benignos superan ampliamente a los maliciosos, EMBER2024 fue construido con cuotas semanales por formato, de modo que el balance debe verificarse y no asumirse: la Tabla 7 resume los resultados de la limpieza y la proporción de maliciosos en la muestra de entrenamiento. La muestra resultó prácticamente balanceada (49,9 % de archivos maliciosos, y 49,97 % en el entrenamiento completo), por lo que se consideró innecesario un balanceo adicional por sobremuestreo o submuestreo; en todo caso, los tres modelos se entrenaron con pesos de clase inversamente proporcionales a su frecuencia, y la validación cruzada fue estratificada. La deduplicación por SHA-256 resultó determinante por la duplicidad de registros de los archivos comprimidos: en la muestra de selección eliminó 2.339 registros repetidos y, al construir los conjuntos reducidos, 36.374 en el entrenamiento y 540.060 en la prueba temporal. No se encontraron valores no finitos (el extractor produce vectores completos) y 29 posiciones del vector resultaron constantes en la muestra, de modo que quedaron 2.539 características candidatas. Los valores se estandarizaron (media 0, desviación 1) con un escalador ajustado únicamente con el conjunto de entrenamiento, requisito de la red neuronal y práctica que se conserva para los demás modelos y para la interfaz.</w:t>
      </w:r>
    </w:p>
    <w:p>
      <w:pPr>
        <w:pStyle w:val="Descripcin"/>
        <w:keepNext/>
      </w:pPr>
      <w:r>
        <w:rPr>
          <w:rFonts w:ascii="Arial" w:hAnsi="Arial" w:cs="Arial"/>
          <w:b/>
          <w:bCs/>
          <w:color w:val="000000"/>
          <w:sz w:val="20"/>
          <w:szCs w:val="20"/>
        </w:rPr>
        <w:t xml:space="preserve">Tabla 7. Resultados del preprocesamiento sobre la muestra de selección de características</w:t>
      </w:r>
    </w:p>
    <w:tbl>
      <w:tblPr>
        <w:tblStyle w:val="Tablaconcuadrcula"/>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000"/>
        <w:gridCol w:w="4000"/>
      </w:tblGrid>
      <w:tr>
        <w:trPr>
          <w:tblHeader/>
        </w:trPr>
        <w:tc>
          <w:tcPr>
            <w:tcW w:w="60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Paso</w:t>
            </w:r>
          </w:p>
        </w:tc>
        <w:tc>
          <w:tcPr>
            <w:tcW w:w="40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Resultado</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Registros de entrenamiento disponibles (muestreados en la Fase 1a)</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585.371 (548.997 archivos únicos)</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Muestra usada para la selección de características</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147.634 archivos únicos (110.725 para entrenar y 36.909 para validar)</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Duplicados por SHA-256 eliminados en la muestra</w:t>
            </w:r>
          </w:p>
        </w:tc>
        <w:tc>
          <w:tcPr>
            <w:tcW w:w="4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2.339</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Valores no finitos corregidos</w:t>
            </w:r>
          </w:p>
        </w:tc>
        <w:tc>
          <w:tcPr>
            <w:tcW w:w="4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Columnas constantes eliminadas</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29 de 2.568</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Características después de la limpieza</w:t>
            </w:r>
          </w:p>
        </w:tc>
        <w:tc>
          <w:tcPr>
            <w:tcW w:w="4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2.539</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Proporción de archivos maliciosos en la muestra</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49,9 % (73.648 maliciosos y 73.986 benignos)</w:t>
            </w:r>
          </w:p>
        </w:tc>
      </w:tr>
    </w:tbl>
    <w:p>
      <w:pPr>
        <w:spacing w:before="60" w:after="240"/>
        <w:jc w:val="left"/>
      </w:pPr>
      <w:r>
        <w:rPr>
          <w:rFonts w:ascii="Arial" w:hAnsi="Arial" w:cs="Arial"/>
          <w:i/>
          <w:iCs/>
          <w:sz w:val="18"/>
          <w:szCs w:val="18"/>
        </w:rPr>
        <w:t xml:space="preserve">Fuente: elaboración propia (notebook, Fase 1b: fase1_resumen.json).</w:t>
      </w:r>
    </w:p>
    <w:p>
      <w:pPr>
        <w:pStyle w:val="Ttulo3"/>
      </w:pPr>
      <w:r>
        <w:t xml:space="preserve">Selección de características y reducción de dimensionalidad</w:t>
      </w:r>
    </w:p>
    <w:p w:rsidR="00AC2941" w:rsidRPr="00AC2941" w:rsidRDefault="00AC2941" w:rsidP="00AC2941">
      <w:pPr>
        <w:rPr>
          <w:rFonts w:eastAsia="Arial" w:cs="Arial"/>
          <w:color w:val="000000" w:themeColor="text1"/>
        </w:rPr>
      </w:pPr>
      <w:r>
        <w:t>Para reducir la dimensionalidad del conjunto sin sacrificar la capacidad discriminativa del modelo se siguió un procedimiento de tres pasos sobre una muestra estratificada de 147.634 archivos únicos del entrenamiento (Tabla 7), con una partición de validación del 25 %. Primero, un Extra Trees Classifier [2] de 300 árboles (profundidad máxima 25, mínimo 5 muestras por hoja, criterio de impureza de Gini) produjo un ranking de importancia de las características y, sobre la validación, el F1 de referencia con todas las variables limpias. Segundo, sobre las 200 características mejor posicionadas se descartaron las redundantes: aquellas con un coeficiente de correlación absoluto superior a 0,90 con otra mejor posicionada. Tercero, se entrenó un clasificador con las K primeras características del ranking depurado para K ∈ {5, 10, 15, 20, 30, 40, 50, 75, 100, 150} y se construyó la curva de la Figura 6 (valores en la Tabla 8); la regla de selección, fijada de antemano, fue tomar el menor K que conservara al menos el 95 % del F1 de referencia, lo que hace explícito el compromiso entre número de variables (costo de extracción e inferencia) y desempeño.</w:t>
      </w:r>
    </w:p>
    <w:p>
      <w:pPr>
        <w:pStyle w:val="Descripcin"/>
        <w:keepNext/>
      </w:pPr>
      <w:r>
        <w:rPr>
          <w:rFonts w:ascii="Arial" w:hAnsi="Arial" w:cs="Arial"/>
          <w:b/>
          <w:bCs/>
          <w:color w:val="000000"/>
          <w:sz w:val="20"/>
          <w:szCs w:val="20"/>
        </w:rPr>
        <w:t xml:space="preserve">Figura 6. Curva de reducción de dimensionalidad vs. porcentaje del F1 de referencia conservado</w:t>
      </w:r>
    </w:p>
    <w:p>
      <w:pPr>
        <w:keepNext/>
        <w:jc w:val="center"/>
      </w:pPr>
      <w:r>
        <w:drawing>
          <wp:inline xmlns:a="http://schemas.openxmlformats.org/drawingml/2006/main" xmlns:pic="http://schemas.openxmlformats.org/drawingml/2006/picture">
            <wp:extent cx="5040000" cy="3168299"/>
            <wp:docPr id="1925695359" name="Picture 1925695359"/>
            <wp:cNvGraphicFramePr>
              <a:graphicFrameLocks noChangeAspect="1"/>
            </wp:cNvGraphicFramePr>
            <a:graphic>
              <a:graphicData uri="http://schemas.openxmlformats.org/drawingml/2006/picture">
                <pic:pic>
                  <pic:nvPicPr>
                    <pic:cNvPr id="0" name="fig_curva_k_vs_f1.png"/>
                    <pic:cNvPicPr/>
                  </pic:nvPicPr>
                  <pic:blipFill>
                    <a:blip r:embed="rId24"/>
                    <a:stretch>
                      <a:fillRect/>
                    </a:stretch>
                  </pic:blipFill>
                  <pic:spPr>
                    <a:xfrm>
                      <a:off x="0" y="0"/>
                      <a:ext cx="5040000" cy="3168299"/>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1b).</w:t>
      </w:r>
    </w:p>
    <w:p>
      <w:pPr>
        <w:pStyle w:val="Descripcin"/>
        <w:keepNext/>
      </w:pPr>
      <w:r>
        <w:rPr>
          <w:rFonts w:ascii="Arial" w:hAnsi="Arial" w:cs="Arial"/>
          <w:b/>
          <w:bCs/>
          <w:color w:val="000000"/>
          <w:sz w:val="20"/>
          <w:szCs w:val="20"/>
        </w:rPr>
        <w:t xml:space="preserve">Tabla 8. Desempeño conservado para cada valor de K evaluado</w:t>
      </w:r>
    </w:p>
    <w:tbl>
      <w:tblPr>
        <w:tblStyle w:val="Tablaconcuadrcula"/>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00"/>
        <w:gridCol w:w="2600"/>
        <w:gridCol w:w="3200"/>
        <w:gridCol w:w="3000"/>
      </w:tblGrid>
      <w:tr>
        <w:trPr>
          <w:tblHeader/>
        </w:trPr>
        <w:tc>
          <w:tcPr>
            <w:tcW w:w="12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K</w:t>
            </w:r>
          </w:p>
        </w:tc>
        <w:tc>
          <w:tcPr>
            <w:tcW w:w="26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F1 en validación</w:t>
            </w:r>
          </w:p>
        </w:tc>
        <w:tc>
          <w:tcPr>
            <w:tcW w:w="32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Reducción de dimensionalidad</w:t>
            </w:r>
          </w:p>
        </w:tc>
        <w:tc>
          <w:tcPr>
            <w:tcW w:w="30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F1 conservado</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5</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0,8866</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99,81 %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92,98 %</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10</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0,8977</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99,61 %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94,14 %</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15</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0,9102</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99,42 %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95,45 %</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20</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0,9191</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99,22 %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96,39 %</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30</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0,9327</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98,83 %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97,82 %</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40</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0,9395</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98,44 %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98,53 %</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50</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0,9449</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98,05 %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99,09 %</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75</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0,9484</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97,08 %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99,46 %</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100</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0,9510</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96,11 %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99,73 %</w:t>
            </w:r>
          </w:p>
        </w:tc>
      </w:tr>
      <w:tr>
        <w:tc>
          <w:tcPr>
            <w:tcW w:w="1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150</w:t>
            </w:r>
          </w:p>
        </w:tc>
        <w:tc>
          <w:tcPr>
            <w:tcW w:w="26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0,9530</w:t>
            </w:r>
          </w:p>
        </w:tc>
        <w:tc>
          <w:tcPr>
            <w:tcW w:w="32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94,16 %</w:t>
            </w:r>
          </w:p>
        </w:tc>
        <w:tc>
          <w:tcPr>
            <w:tcW w:w="3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99,94 %</w:t>
            </w:r>
          </w:p>
        </w:tc>
      </w:tr>
    </w:tbl>
    <w:p>
      <w:pPr>
        <w:spacing w:before="60" w:after="240"/>
        <w:jc w:val="left"/>
      </w:pPr>
      <w:r>
        <w:rPr>
          <w:rFonts w:ascii="Arial" w:hAnsi="Arial" w:cs="Arial"/>
          <w:i/>
          <w:iCs/>
          <w:sz w:val="18"/>
          <w:szCs w:val="18"/>
        </w:rPr>
        <w:t xml:space="preserve">Fuente: elaboración propia (notebook, Fase 1b: curva_k_vs_f1.csv). F1 de referencia con las 2.539 variables limpias: 0,9535.</w:t>
      </w:r>
    </w:p>
    <w:p w:rsidR="00AC2941" w:rsidRPr="00AC2941" w:rsidRDefault="00AC2941" w:rsidP="00AC2941">
      <w:pPr>
        <w:rPr>
          <w:rFonts w:eastAsia="Arial" w:cs="Arial"/>
          <w:color w:val="000000" w:themeColor="text1"/>
        </w:rPr>
      </w:pPr>
      <w:r>
        <w:t xml:space="preserve">El F1 de referencia con las 2.539 variables limpias fue de 0,9535 (Extra Trees, 300 árboles, 16 minutos de entrenamiento en Colab); tras el filtro de correlación quedaron 180 candidatas de las 200 mejor posicionadas (20 descartadas por tener |r| &gt; 0,90 con otra variable mejor posicionada). El menor K que cumplió la regla fue </w:t>
      </w:r>
      <w:r>
        <w:rPr>
          <w:b/>
          <w:bCs/>
        </w:rPr>
        <w:t xml:space="preserve">K = 15</w:t>
      </w:r>
      <w:r>
        <w:t xml:space="preserve">, con un F1 de 0,9102 en validación (95,45 % del F1 de referencia) y una reducción de dimensionalidad del 99,42 %, es decir, el sistema necesita solo 15 de las 2.568 características del vector original. La curva muestra rendimientos decrecientes: pasar de 15 a 50 características eleva el F1 conservado del 95,4 % al 99,1 % (F1 = 0,9449) y de 50 a 150 apenas del 99,1 % al 99,9 %, de modo que la regla fijada de antemano privilegia la reducción de dimensionalidad —y con ella el costo de extracción e inferencia— a cambio de cerca de 4,5 puntos de F1 respecto al modelo con todas las variables; el capítulo siguiente discute las consecuencias de esa decisión sobre las metas de desempeño. La Figura 7 y la Tabla 9 muestran las características seleccionadas, su importancia y el grupo del que provienen. Dominan los encabezados PE (6 de las 15: la bandera DLL de las características del archivo, las banderas DYNAMIC_BASE, NX_COMPAT y TERMINAL_SERVER_AWARE de las características de DLL, y las banderas RELOCS_STRIPPED y LINE_NUMS_STRIPPED), seguidos de la firma Authenticode (3: tiempo de la firma más reciente, nombre de programa vacío y profundidad máxima de la cadena de certificados), las advertencias de formato (2: banderas sospechosas en una sección y SizeOfHeaders menor que el punto de entrada), y una característica de cada uno de los grupos de exportaciones (si el archivo exporta funciones), directorios de datos (si tiene reubicaciones), secciones (entropía del overlay, los datos anexados tras la última sección) y del histograma byte-entropía (la celda de máxima entropía y máximo valor de byte, indicadora de contenido empaquetado o cifrado). La selección coincide con la intuición del análisis de malware: el software legítimo suele distribuirse como bibliotecas (DLL) firmadas con una cadena de certificados completa, compiladas con las protecciones modernas del enlazador (ASLR y DEP, que corresponden a DYNAMIC_BASE y NX_COMPAT) y con reubicaciones y exportaciones declaradas, mientras que el malware se presenta con frecuencia como ejecutable sin firma válida, con secciones de permisos anómalos y con contenido u overlay de alta entropía producto de empaquetadores o cifrado; la correlación máxima entre las 15 variables seleccionadas fue de 0,87 en valor absoluto, por debajo del umbral de redundancia.</w:t>
      </w:r>
    </w:p>
    <w:p>
      <w:pPr>
        <w:pStyle w:val="Descripcin"/>
        <w:keepNext/>
      </w:pPr>
      <w:r>
        <w:rPr>
          <w:rFonts w:ascii="Arial" w:hAnsi="Arial" w:cs="Arial"/>
          <w:b/>
          <w:bCs/>
          <w:color w:val="000000"/>
          <w:sz w:val="20"/>
          <w:szCs w:val="20"/>
        </w:rPr>
        <w:t xml:space="preserve">Figura 7. Características seleccionadas, su importancia (Extra Trees) y su grupo de origen</w:t>
      </w:r>
    </w:p>
    <w:p>
      <w:pPr>
        <w:keepNext/>
        <w:jc w:val="center"/>
      </w:pPr>
      <w:r>
        <w:drawing>
          <wp:inline xmlns:a="http://schemas.openxmlformats.org/drawingml/2006/main" xmlns:pic="http://schemas.openxmlformats.org/drawingml/2006/picture">
            <wp:extent cx="5040000" cy="2084901"/>
            <wp:docPr id="1925695360" name="Picture 1925695360"/>
            <wp:cNvGraphicFramePr>
              <a:graphicFrameLocks noChangeAspect="1"/>
            </wp:cNvGraphicFramePr>
            <a:graphic>
              <a:graphicData uri="http://schemas.openxmlformats.org/drawingml/2006/picture">
                <pic:pic>
                  <pic:nvPicPr>
                    <pic:cNvPr id="0" name="fig_importancia_topk.png"/>
                    <pic:cNvPicPr/>
                  </pic:nvPicPr>
                  <pic:blipFill>
                    <a:blip r:embed="rId25"/>
                    <a:stretch>
                      <a:fillRect/>
                    </a:stretch>
                  </pic:blipFill>
                  <pic:spPr>
                    <a:xfrm>
                      <a:off x="0" y="0"/>
                      <a:ext cx="5040000" cy="2084901"/>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1b).</w:t>
      </w:r>
    </w:p>
    <w:p>
      <w:pPr>
        <w:pStyle w:val="Descripcin"/>
        <w:keepNext/>
      </w:pPr>
      <w:r>
        <w:rPr>
          <w:rFonts w:ascii="Arial" w:hAnsi="Arial" w:cs="Arial"/>
          <w:b/>
          <w:bCs/>
          <w:color w:val="000000"/>
          <w:sz w:val="20"/>
          <w:szCs w:val="20"/>
        </w:rPr>
        <w:t xml:space="preserve">Tabla 9. Características seleccionadas para el modelado</w:t>
      </w:r>
    </w:p>
    <w:tbl>
      <w:tblPr>
        <w:tblStyle w:val="Tablaconcuadrcula"/>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00"/>
        <w:gridCol w:w="1100"/>
        <w:gridCol w:w="4300"/>
        <w:gridCol w:w="2200"/>
        <w:gridCol w:w="1400"/>
      </w:tblGrid>
      <w:tr>
        <w:trPr>
          <w:tblHeader/>
        </w:trPr>
        <w:tc>
          <w:tcPr>
            <w:tcW w:w="10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Posición</w:t>
            </w:r>
          </w:p>
        </w:tc>
        <w:tc>
          <w:tcPr>
            <w:tcW w:w="11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Columna</w:t>
            </w:r>
          </w:p>
        </w:tc>
        <w:tc>
          <w:tcPr>
            <w:tcW w:w="43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Nombre legible</w:t>
            </w:r>
          </w:p>
        </w:tc>
        <w:tc>
          <w:tcPr>
            <w:tcW w:w="22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Grupo</w:t>
            </w:r>
          </w:p>
        </w:tc>
        <w:tc>
          <w:tcPr>
            <w:tcW w:w="14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Importancia</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f739</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header.characteristics.DLL</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Encabezados PE</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0,0650</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2</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f2478</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authenticode.latest_signing_time</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Firma Authenticode</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0,0486</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3</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f2276</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exports.has_exports</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Exportaciones</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0,0343</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4</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f2547</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pefilewarnings.w67_Suspicious flags set for section</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Advertencias de formato</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0,0330</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5</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f2474</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authenticode.empty_program_name</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Firma Authenticode</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0,0184</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6</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f2437</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datadirectories.has_relocs</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Directorios de datos</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0,0183</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7</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f743</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header.dll_characteristics.DYNAMIC_BASE</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Encabezados PE</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0,0144</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8</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f745</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header.dll_characteristics.NX_COMPAT</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Encabezados PE</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0,0138</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9</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f993</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section.overlay.entropy</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Secciones</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0,0136</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10</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f2477</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authenticode.chain_max_depth</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Firma Authenticode</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0,0127</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11</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f2546</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pefilewarnings.w66_SizeOfHeaders is smaller than AddressOfEntryPoint</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Advertencias de formato</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0,0109</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12</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f726</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header.characteristics.RELOCS_STRIPPED</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Encabezados PE</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0,0101</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13</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f728</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header.characteristics.LINE_NUMS_STRIPPED</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Encabezados PE</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0,0087</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14</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f518</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byteentropy.entropia15_byte15</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Histograma byte-entropía</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0,0082</w:t>
            </w:r>
          </w:p>
        </w:tc>
      </w:tr>
      <w:tr>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15</w:t>
            </w:r>
          </w:p>
        </w:tc>
        <w:tc>
          <w:tcPr>
            <w:tcW w:w="11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f752</w:t>
            </w:r>
          </w:p>
        </w:tc>
        <w:tc>
          <w:tcPr>
            <w:tcW w:w="4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header.dll_characteristics.TERMINAL_SERVER_AWARE</w:t>
            </w:r>
          </w:p>
        </w:tc>
        <w:tc>
          <w:tcPr>
            <w:tcW w:w="2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Encabezados PE</w:t>
            </w:r>
          </w:p>
        </w:tc>
        <w:tc>
          <w:tcPr>
            <w:tcW w:w="14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0,0075</w:t>
            </w:r>
          </w:p>
        </w:tc>
      </w:tr>
    </w:tbl>
    <w:p>
      <w:pPr>
        <w:spacing w:before="60" w:after="240"/>
        <w:jc w:val="left"/>
      </w:pPr>
      <w:r>
        <w:rPr>
          <w:rFonts w:ascii="Arial" w:hAnsi="Arial" w:cs="Arial"/>
          <w:i/>
          <w:iCs/>
          <w:sz w:val="18"/>
          <w:szCs w:val="18"/>
        </w:rPr>
        <w:t xml:space="preserve">Fuente: elaboración propia (notebook, Fase 1b: caracteristicas_seleccionadas.csv). </w:t>
      </w:r>
      <w:r>
        <w:rPr>
          <w:rFonts w:ascii="Arial" w:hAnsi="Arial" w:cs="Arial"/>
          <w:i/>
          <w:iCs/>
          <w:sz w:val="18"/>
          <w:szCs w:val="18"/>
        </w:rPr>
        <w:t xml:space="preserve">Importancia: disminución promedio de la impureza de Gini en Extra Trees; las posiciones 14 y 15 estaban en los puestos 15 y 17 del ranking original, porque se quitaron dos variables intermedias por ser redundantes.</w:t>
      </w:r>
    </w:p>
    <w:p>
      <w:pPr>
        <w:pStyle w:val="Ttulo3"/>
      </w:pPr>
      <w:r>
        <w:t xml:space="preserve">Resultado y conclusión del capítulo</w:t>
      </w:r>
    </w:p>
    <w:p w:rsidR="00AC2941" w:rsidRPr="00AC2941" w:rsidRDefault="00AC2941" w:rsidP="00AC2941">
      <w:pPr>
        <w:rPr>
          <w:rFonts w:eastAsia="Arial" w:cs="Arial"/>
          <w:color w:val="000000" w:themeColor="text1"/>
        </w:rPr>
      </w:pPr>
      <w:r>
        <w:t xml:space="preserve">Se cumplió el primer objetivo específico: ya se cuenta con un conjunto de datos representativo y al día, tomado del subconjunto PE de EMBER2024 (548.997 archivos únicos para entrenar, 539.940 para la prueba temporal y 4.868 para el desafío). Este conjunto se limpió, se revisó su balance de clases (49,97 % de archivos maliciosos en el entrenamiento) y se redujo de 2.568 a 15 características con un procedimiento que se puede repetir y con una regla de selección clara, que mantuvo el 95,45 % del F1 de referencia</w:t>
      </w:r>
      <w:r>
        <w:t xml:space="preserve">. Ambas metas de la compuerta KPI-1 se cumplieron: reducción de dimensionalidad del 99,42 % (meta ≥ 90 %) y F1 conservado del 95,45 % (meta ≥ 95 %). </w:t>
      </w:r>
      <w:r>
        <w:t xml:space="preserve">La Fase 2 parte de estos conjuntos reducidos y del diccionario de datos</w:t>
      </w:r>
      <w:r>
        <w:t xml:space="preserve">.</w:t>
      </w:r>
    </w:p>
    <w:p w14:paraId="23169E47" w14:textId="64416CBC" w:rsidR="00D011BC" w:rsidRPr="009E5483" w:rsidRDefault="00D011BC" w:rsidP="009E5483">
      <w:pPr>
        <w:pStyle w:val="Ttulo2"/>
        <w:rPr>
          <w:b/>
          <w:bCs/>
        </w:rPr>
      </w:pPr>
      <w:r>
        <w:t xml:space="preserve">DESARROLLO DEL SEGUNDO OBJETIVO</w:t>
      </w:r>
    </w:p>
    <w:p w14:paraId="6218A8EA" w14:textId="77777777" w:rsidR="001E5A50" w:rsidRPr="009E5483" w:rsidRDefault="001E5A50" w:rsidP="009E5483">
      <w:pPr>
        <w:pStyle w:val="Ttulo2"/>
      </w:pPr>
      <w:bookmarkStart w:id="48" w:name="_Toc240146221"/>
      <w:r>
        <w:rPr>
          <w:rStyle w:val="Fuerte"/>
        </w:rPr>
        <w:t xml:space="preserve">ENTRENAMIENTO Y COMPARACIÓN DE MODELOS DE CLASIFICACIÓN PARA LA DETECCIÓN DE MALWARE</w:t>
      </w:r>
      <w:bookmarkEnd w:id="48"/>
    </w:p>
    <w:p w:rsidR="00AC2941" w:rsidRPr="00AC2941" w:rsidRDefault="00AC2941" w:rsidP="00AC2941">
      <w:pPr>
        <w:rPr>
          <w:rFonts w:eastAsia="Arial" w:cs="Arial"/>
          <w:color w:val="000000" w:themeColor="text1"/>
        </w:rPr>
      </w:pPr>
      <w:r>
        <w:t xml:space="preserve">En este capítulo se trabaja el segundo objetivo específico del proyecto: crear un sistema de clasificación que separe los archivos maliciosos de los benignos, entrenando y comparando varios modelos de aprendizaje automático para encontrar el que detecta más, da menos falsas alarmas y responde en un tiempo adecuado.</w:t>
      </w:r>
    </w:p>
    <w:p>
      <w:pPr>
        <w:pStyle w:val="Ttulo3"/>
      </w:pPr>
      <w:r>
        <w:t xml:space="preserve">Modelos evaluados y ajuste de hiperparámetros</w:t>
      </w:r>
    </w:p>
    <w:p w:rsidR="00AC2941" w:rsidRPr="00AC2941" w:rsidRDefault="00AC2941" w:rsidP="00AC2941">
      <w:pPr>
        <w:rPr>
          <w:rFonts w:eastAsia="Arial" w:cs="Arial"/>
          <w:color w:val="000000" w:themeColor="text1"/>
        </w:rPr>
      </w:pPr>
      <w:r>
        <w:t>Sobre el conjunto reducido del capítulo anterior se entrenaron y compararon tres algoritmos de clasificación supervisada: Random Forest [47], XGBoost [48] y una red neuronal densa. Se escogieron estos tres porque, según el estado del arte revisado, dan buenos resultados en la detección estática de malware [49], [63], [68].</w:t>
      </w:r>
      <w:r>
        <w:t xml:space="preserve"> Con el fin de evitar el sobreajuste y garantizar que el modelo seleccionado generalice ante datos nuevos, los hiperparámetros de Random Forest y XGBoost se ajustaron con búsqueda aleatoria (RandomizedSearchCV, cinco combinaciones por modelo) y validación cruzada estratificada de tres particiones, optimizando el F1-score; la red neuronal se entrenó con parada temprana sobre una partición de validación del 20 % monitoreando el AUC. La Tabla 10 resume los espacios de búsqueda y la Tabla 11 los mejores hiperparámetros encontrados.</w:t>
      </w:r>
    </w:p>
    <w:p>
      <w:pPr>
        <w:pStyle w:val="Descripcin"/>
        <w:keepNext/>
      </w:pPr>
      <w:r>
        <w:rPr>
          <w:rFonts w:ascii="Arial" w:hAnsi="Arial" w:cs="Arial"/>
          <w:b/>
          <w:bCs/>
          <w:color w:val="000000"/>
          <w:sz w:val="20"/>
          <w:szCs w:val="20"/>
        </w:rPr>
        <w:t xml:space="preserve">Tabla 10. Espacios de búsqueda de hiperparámetros y configuración de la red neuronal</w:t>
      </w:r>
    </w:p>
    <w:tbl>
      <w:tblPr>
        <w:tblStyle w:val="Tablaconcuadrcula"/>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5000"/>
        <w:gridCol w:w="2800"/>
      </w:tblGrid>
      <w:tr>
        <w:trPr>
          <w:tblHeader/>
        </w:trPr>
        <w:tc>
          <w:tcPr>
            <w:tcW w:w="22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Modelo</w:t>
            </w:r>
          </w:p>
        </w:tc>
        <w:tc>
          <w:tcPr>
            <w:tcW w:w="50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Hiperparámetros explorados</w:t>
            </w:r>
          </w:p>
        </w:tc>
        <w:tc>
          <w:tcPr>
            <w:tcW w:w="28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Otros ajustes</w:t>
            </w:r>
          </w:p>
        </w:tc>
      </w:tr>
      <w:tr>
        <w:tc>
          <w:tcPr>
            <w:tcW w:w="2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Random Forest</w:t>
            </w:r>
          </w:p>
        </w:tc>
        <w:tc>
          <w:tcPr>
            <w:tcW w:w="5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n_estimators ∈ {150, 250}; max_depth ∈ {10, 15, 20, 25}; min_samples_leaf ∈ {2, 4, 6}; max_features ∈ {sqrt, 0,5}</w:t>
            </w:r>
          </w:p>
        </w:tc>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class_weight = balanced; criterio Gini</w:t>
            </w:r>
          </w:p>
        </w:tc>
      </w:tr>
      <w:tr>
        <w:tc>
          <w:tcPr>
            <w:tcW w:w="2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XGBoost</w:t>
            </w:r>
          </w:p>
        </w:tc>
        <w:tc>
          <w:tcPr>
            <w:tcW w:w="5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n_estimators ∈ {150, 250, 400}; max_depth ∈ {4, 6, 8}; learning_rate ∈ {0,05; 0,1; 0,2}; subsample ∈ {0,8; 1,0}; colsample_bytree ∈ {0,7; 1,0}</w:t>
            </w:r>
          </w:p>
        </w:tc>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scale_pos_weight según el balance de clases; tree_method = hist; métrica logloss</w:t>
            </w:r>
          </w:p>
        </w:tc>
      </w:tr>
      <w:tr>
        <w:tc>
          <w:tcPr>
            <w:tcW w:w="2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Red neuronal densa</w:t>
            </w:r>
          </w:p>
        </w:tc>
        <w:tc>
          <w:tcPr>
            <w:tcW w:w="5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Arquitectura fija 128-64-32-1 (ReLU, dropout 0,3/0,2, salida sigmoide); Adam con tasa 0,001; lote 1.024; hasta 100 épocas</w:t>
            </w:r>
          </w:p>
        </w:tc>
        <w:tc>
          <w:tcPr>
            <w:tcW w:w="28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Parada temprana (val_auc, paciencia 8) y pesos de clase</w:t>
            </w:r>
          </w:p>
        </w:tc>
      </w:tr>
    </w:tbl>
    <w:p>
      <w:pPr>
        <w:spacing w:before="60" w:after="240"/>
        <w:jc w:val="left"/>
      </w:pPr>
      <w:r>
        <w:rPr>
          <w:rFonts w:ascii="Arial" w:hAnsi="Arial" w:cs="Arial"/>
          <w:i/>
          <w:iCs/>
          <w:sz w:val="18"/>
          <w:szCs w:val="18"/>
        </w:rPr>
        <w:t xml:space="preserve">Fuente: elaboración propia (notebook, Fase 2).</w:t>
      </w:r>
    </w:p>
    <w:p>
      <w:pPr>
        <w:pStyle w:val="Descripcin"/>
        <w:keepNext/>
      </w:pPr>
      <w:r>
        <w:rPr>
          <w:rFonts w:ascii="Arial" w:hAnsi="Arial" w:cs="Arial"/>
          <w:b/>
          <w:bCs/>
          <w:color w:val="000000"/>
          <w:sz w:val="20"/>
          <w:szCs w:val="20"/>
        </w:rPr>
        <w:t xml:space="preserve">Tabla 11. Mejores hiperparámetros encontrados por la búsqueda aleatoria</w:t>
      </w:r>
    </w:p>
    <w:tbl>
      <w:tblPr>
        <w:tblStyle w:val="Tablaconcuadrcula"/>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4000"/>
        <w:gridCol w:w="2000"/>
        <w:gridCol w:w="1800"/>
      </w:tblGrid>
      <w:tr>
        <w:trPr>
          <w:tblHeader/>
        </w:trPr>
        <w:tc>
          <w:tcPr>
            <w:tcW w:w="22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Modelo</w:t>
            </w:r>
          </w:p>
        </w:tc>
        <w:tc>
          <w:tcPr>
            <w:tcW w:w="40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Mejores hiperparámetros</w:t>
            </w:r>
          </w:p>
        </w:tc>
        <w:tc>
          <w:tcPr>
            <w:tcW w:w="20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F1 promedio en validación cruzada</w:t>
            </w:r>
          </w:p>
        </w:tc>
        <w:tc>
          <w:tcPr>
            <w:tcW w:w="18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Tiempo de entrenamiento (min)</w:t>
            </w:r>
          </w:p>
        </w:tc>
      </w:tr>
      <w:tr>
        <w:tc>
          <w:tcPr>
            <w:tcW w:w="2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Random Forest</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n_estimators = 250; max_depth = 25; min_samples_leaf = 2; max_features = 0,5</w:t>
            </w:r>
          </w:p>
        </w:tc>
        <w:tc>
          <w:tcPr>
            <w:tcW w:w="2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0,928</w:t>
            </w:r>
          </w:p>
        </w:tc>
        <w:tc>
          <w:tcPr>
            <w:tcW w:w="18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46,5</w:t>
            </w:r>
          </w:p>
        </w:tc>
      </w:tr>
      <w:tr>
        <w:tc>
          <w:tcPr>
            <w:tcW w:w="2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XGBoost</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n_estimators = 400; max_depth = 6; learning_rate = 0,1; subsample = 1,0; colsample_bytree = 1,0</w:t>
            </w:r>
          </w:p>
        </w:tc>
        <w:tc>
          <w:tcPr>
            <w:tcW w:w="2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0,922</w:t>
            </w:r>
          </w:p>
        </w:tc>
        <w:tc>
          <w:tcPr>
            <w:tcW w:w="18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5,3</w:t>
            </w:r>
          </w:p>
        </w:tc>
      </w:tr>
      <w:tr>
        <w:tc>
          <w:tcPr>
            <w:tcW w:w="22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Red neuronal densa</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128-64-32-1; 24 épocas efectivas (parada temprana en la época 16, con paciencia 8)</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no aplica (parada temprana)</w:t>
            </w:r>
          </w:p>
        </w:tc>
        <w:tc>
          <w:tcPr>
            <w:tcW w:w="18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2,4</w:t>
            </w:r>
          </w:p>
        </w:tc>
      </w:tr>
    </w:tbl>
    <w:p>
      <w:pPr>
        <w:spacing w:before="60" w:after="240"/>
        <w:jc w:val="left"/>
      </w:pPr>
      <w:r>
        <w:rPr>
          <w:rFonts w:ascii="Arial" w:hAnsi="Arial" w:cs="Arial"/>
          <w:i/>
          <w:iCs/>
          <w:sz w:val="18"/>
          <w:szCs w:val="18"/>
        </w:rPr>
        <w:t xml:space="preserve">Fuente: elaboración propia (notebook, Fase 2: fase2_resumen.json y busqueda_hiperparametros_*.csv). El tiempo incluye las cinco combinaciones por tres particiones de la búsqueda y el reentrenamiento final; Google Colab, 2 núcleos de CPU.</w:t>
      </w:r>
    </w:p>
    <w:p>
      <w:pPr>
        <w:pStyle w:val="Ttulo3"/>
      </w:pPr>
      <w:r>
        <w:t xml:space="preserve">Protocolo de evaluación y métricas</w:t>
      </w:r>
    </w:p>
    <w:p w:rsidR="00AC2941" w:rsidRPr="00AC2941" w:rsidRDefault="00AC2941" w:rsidP="00AC2941">
      <w:pPr>
        <w:rPr>
          <w:rFonts w:eastAsia="Arial" w:cs="Arial"/>
          <w:color w:val="000000" w:themeColor="text1"/>
        </w:rPr>
      </w:pPr>
      <w:r>
        <w:t xml:space="preserve">La comparación entre modelos se realizó sobre dos conjuntos que el proceso de entrenamiento y de selección de características nunca vio. El primero es la </w:t>
      </w:r>
      <w:r>
        <w:rPr>
          <w:b/>
          <w:bCs/>
        </w:rPr>
        <w:t xml:space="preserve">prueba temporal</w:t>
      </w:r>
      <w:r>
        <w:t xml:space="preserve"> de EMBER2024: 539.940 archivos PE únicos de las 12 semanas posteriores a las 52 semanas de entrenamiento (semanas 52 a 63 contadas desde el 24 de septiembre de 2023), lo que simula el escenario real en el que el sistema analiza archivos más nuevos que aquellos con los que aprendió [37]. El segundo es el </w:t>
      </w:r>
      <w:r>
        <w:rPr>
          <w:b/>
          <w:bCs/>
        </w:rPr>
        <w:t xml:space="preserve">conjunto de desafío</w:t>
      </w:r>
      <w:r>
        <w:t xml:space="preserve">: 4.868 archivos maliciosos que ningún motor antivirus detectó en su primer análisis; siguiendo el protocolo del artículo de EMBER2024 [1], se combinan con los archivos benignos de la prueba temporal para calcular el AUC y se reporta además el recall sobre ellos, que mide directamente la capacidad de detectar malware evasivo. Las métricas empleadas son accuracy, precision, recall, F1-score, AUC-ROC, PR-AUC, tasa de falsos positivos (FPR), tasa de falsos negativos (FNR) y recall al 1 % de FPR, todas con umbral de decisión 0,5 salvo la última; se dio especial atención al recall y a la FNR, dado que el falso negativo —un archivo malicioso clasificado como benigno— tiene las consecuencias más graves en el contexto de la seguridad informática, y a la FPR, porque un exceso de falsas alarmas hace que los usuarios dejen de confiar en la herramienta. Se midieron también el tiempo de entrenamiento (incluida la búsqueda de hiperparámetros), el tiempo de inferencia por archivo en lote y la latencia de una predicción unitaria, que es la que percibe el usuario de la interfaz.</w:t>
      </w:r>
    </w:p>
    <w:p>
      <w:pPr>
        <w:pStyle w:val="Ttulo3"/>
      </w:pPr>
      <w:r>
        <w:t xml:space="preserve">Resultados de la comparación</w:t>
      </w:r>
    </w:p>
    <w:p w:rsidR="00AC2941" w:rsidRPr="00AC2941" w:rsidRDefault="00AC2941" w:rsidP="00AC2941">
      <w:pPr>
        <w:rPr>
          <w:rFonts w:eastAsia="Arial" w:cs="Arial"/>
          <w:color w:val="000000" w:themeColor="text1"/>
        </w:rPr>
      </w:pPr>
      <w:r>
        <w:t xml:space="preserve">La Tabla 12 presenta las métricas de los tres modelos sobre la prueba temporal y el conjunto de desafío; la Figura 8 las contrasta gráficamente, la Figura 9 muestra las curvas ROC (en escala lineal y con la tasa de falsos positivos en escala logarítmica, que es la región relevante en detección de malware) y la Figura 10 las matrices de confusión.</w:t>
      </w:r>
    </w:p>
    <w:p>
      <w:pPr>
        <w:pStyle w:val="Descripcin"/>
        <w:keepNext/>
      </w:pPr>
      <w:r>
        <w:rPr>
          <w:rFonts w:ascii="Arial" w:hAnsi="Arial" w:cs="Arial"/>
          <w:b/>
          <w:bCs/>
          <w:color w:val="000000"/>
          <w:sz w:val="20"/>
          <w:szCs w:val="20"/>
        </w:rPr>
        <w:t xml:space="preserve">Tabla 12. Comparación de los modelos sobre la prueba temporal y el conjunto de desafío de EMBER2024 (umbral 0,5)</w:t>
      </w:r>
    </w:p>
    <w:tbl>
      <w:tblPr>
        <w:tblStyle w:val="Tablaconcuadrcula"/>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700"/>
        <w:gridCol w:w="2100"/>
        <w:gridCol w:w="2100"/>
        <w:gridCol w:w="2100"/>
      </w:tblGrid>
      <w:tr>
        <w:trPr>
          <w:tblHeader/>
        </w:trPr>
        <w:tc>
          <w:tcPr>
            <w:tcW w:w="37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Métrica</w:t>
            </w:r>
          </w:p>
        </w:tc>
        <w:tc>
          <w:tcPr>
            <w:tcW w:w="21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Random Forest</w:t>
            </w:r>
          </w:p>
        </w:tc>
        <w:tc>
          <w:tcPr>
            <w:tcW w:w="21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XGBoost</w:t>
            </w:r>
          </w:p>
        </w:tc>
        <w:tc>
          <w:tcPr>
            <w:tcW w:w="21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Red neuronal densa</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Accuracy</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0,9252</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0,9219</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0,9094</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Precision</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0,9258</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0,9187</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0,9186</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Recall</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0,9245</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0,9258</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0,8986</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F1-score</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0,9251</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0,9222</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0,9085</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AUC-ROC</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0,9781</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0,9772</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0,9715</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PR-AUC</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0,9782</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0,9770</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0,9717</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Tasa de falsos positivos (FPR)</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7,41 %</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8,20 %</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7,97 %</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Tasa de falsos negativos (FNR)</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7,55 %</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7,42 %</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10,14 %</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Recall al 1 % de FPR</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69,85 %</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67,32 %</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62,40 %</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Recall en el conjunto de desafío</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57,29 %</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51,85 %</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36,42 %</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AUC-ROC desafío + benignos de prueba</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0,9070</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0,8977</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0,8728</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PR-AUC desafío + benignos de prueba</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0,2952</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0,1512</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0,0981</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Tiempo de entrenamiento (s)</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2.788</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317</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146</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Inferencia en lote (ms/archivo)</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0,030</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0,005</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0,001</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Latencia de una predicción (ms, mediana)</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16,5</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0,4</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53,5</w:t>
            </w:r>
          </w:p>
        </w:tc>
      </w:tr>
      <w:tr>
        <w:tc>
          <w:tcPr>
            <w:tcW w:w="3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Tamaño del modelo serializado (MB)</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138,0</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0,6</w:t>
            </w:r>
          </w:p>
        </w:tc>
        <w:tc>
          <w:tcPr>
            <w:tcW w:w="21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0,2</w:t>
            </w:r>
          </w:p>
        </w:tc>
      </w:tr>
    </w:tbl>
    <w:p>
      <w:pPr>
        <w:spacing w:before="60" w:after="240"/>
        <w:jc w:val="left"/>
      </w:pPr>
      <w:r>
        <w:rPr>
          <w:rFonts w:ascii="Arial" w:hAnsi="Arial" w:cs="Arial"/>
          <w:i/>
          <w:iCs/>
          <w:sz w:val="18"/>
          <w:szCs w:val="18"/>
        </w:rPr>
        <w:t xml:space="preserve">Fuente: elaboración propia (notebook, Fase 2: fase2_comparacion_modelos_completa.csv).</w:t>
      </w:r>
    </w:p>
    <w:p>
      <w:pPr>
        <w:pStyle w:val="Descripcin"/>
        <w:keepNext/>
      </w:pPr>
      <w:r>
        <w:rPr>
          <w:rFonts w:ascii="Arial" w:hAnsi="Arial" w:cs="Arial"/>
          <w:b/>
          <w:bCs/>
          <w:color w:val="000000"/>
          <w:sz w:val="20"/>
          <w:szCs w:val="20"/>
        </w:rPr>
        <w:t xml:space="preserve">Figura 8. Comparación de los modelos en las métricas principales sobre la prueba temporal y el conjunto de desafío</w:t>
      </w:r>
    </w:p>
    <w:p>
      <w:pPr>
        <w:keepNext/>
        <w:jc w:val="center"/>
      </w:pPr>
      <w:r>
        <w:drawing>
          <wp:inline xmlns:a="http://schemas.openxmlformats.org/drawingml/2006/main" xmlns:pic="http://schemas.openxmlformats.org/drawingml/2006/picture">
            <wp:extent cx="5400000" cy="3063830"/>
            <wp:docPr id="1925695361" name="Picture 1925695361"/>
            <wp:cNvGraphicFramePr>
              <a:graphicFrameLocks noChangeAspect="1"/>
            </wp:cNvGraphicFramePr>
            <a:graphic>
              <a:graphicData uri="http://schemas.openxmlformats.org/drawingml/2006/picture">
                <pic:pic>
                  <pic:nvPicPr>
                    <pic:cNvPr id="0" name="fig_comparacion_modelos.png"/>
                    <pic:cNvPicPr/>
                  </pic:nvPicPr>
                  <pic:blipFill>
                    <a:blip r:embed="rId26"/>
                    <a:stretch>
                      <a:fillRect/>
                    </a:stretch>
                  </pic:blipFill>
                  <pic:spPr>
                    <a:xfrm>
                      <a:off x="0" y="0"/>
                      <a:ext cx="5400000" cy="3063830"/>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2).</w:t>
      </w:r>
    </w:p>
    <w:p>
      <w:pPr>
        <w:pStyle w:val="Descripcin"/>
        <w:keepNext/>
      </w:pPr>
      <w:r>
        <w:rPr>
          <w:rFonts w:ascii="Arial" w:hAnsi="Arial" w:cs="Arial"/>
          <w:b/>
          <w:bCs/>
          <w:color w:val="000000"/>
          <w:sz w:val="20"/>
          <w:szCs w:val="20"/>
        </w:rPr>
        <w:t xml:space="preserve">Figura 9. Curvas ROC de los tres modelos sobre la prueba temporal (escala lineal y logarítmica)</w:t>
      </w:r>
    </w:p>
    <w:p>
      <w:pPr>
        <w:keepNext/>
        <w:jc w:val="center"/>
      </w:pPr>
      <w:r>
        <w:drawing>
          <wp:inline xmlns:a="http://schemas.openxmlformats.org/drawingml/2006/main" xmlns:pic="http://schemas.openxmlformats.org/drawingml/2006/picture">
            <wp:extent cx="5580000" cy="2623077"/>
            <wp:docPr id="1925695362" name="Picture 1925695362"/>
            <wp:cNvGraphicFramePr>
              <a:graphicFrameLocks noChangeAspect="1"/>
            </wp:cNvGraphicFramePr>
            <a:graphic>
              <a:graphicData uri="http://schemas.openxmlformats.org/drawingml/2006/picture">
                <pic:pic>
                  <pic:nvPicPr>
                    <pic:cNvPr id="0" name="fig_roc_modelos.png"/>
                    <pic:cNvPicPr/>
                  </pic:nvPicPr>
                  <pic:blipFill>
                    <a:blip r:embed="rId27"/>
                    <a:stretch>
                      <a:fillRect/>
                    </a:stretch>
                  </pic:blipFill>
                  <pic:spPr>
                    <a:xfrm>
                      <a:off x="0" y="0"/>
                      <a:ext cx="5580000" cy="2623077"/>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2).</w:t>
      </w:r>
    </w:p>
    <w:p>
      <w:pPr>
        <w:pStyle w:val="Descripcin"/>
        <w:keepNext/>
      </w:pPr>
      <w:r>
        <w:rPr>
          <w:rFonts w:ascii="Arial" w:hAnsi="Arial" w:cs="Arial"/>
          <w:b/>
          <w:bCs/>
          <w:color w:val="000000"/>
          <w:sz w:val="20"/>
          <w:szCs w:val="20"/>
        </w:rPr>
        <w:t xml:space="preserve">Figura 10. Matrices de confusión sobre la prueba temporal</w:t>
      </w:r>
    </w:p>
    <w:p>
      <w:pPr>
        <w:keepNext/>
        <w:jc w:val="center"/>
      </w:pPr>
      <w:r>
        <w:drawing>
          <wp:inline xmlns:a="http://schemas.openxmlformats.org/drawingml/2006/main" xmlns:pic="http://schemas.openxmlformats.org/drawingml/2006/picture">
            <wp:extent cx="5580000" cy="1868601"/>
            <wp:docPr id="1925695363" name="Picture 1925695363"/>
            <wp:cNvGraphicFramePr>
              <a:graphicFrameLocks noChangeAspect="1"/>
            </wp:cNvGraphicFramePr>
            <a:graphic>
              <a:graphicData uri="http://schemas.openxmlformats.org/drawingml/2006/picture">
                <pic:pic>
                  <pic:nvPicPr>
                    <pic:cNvPr id="0" name="fig_matrices_confusion.png"/>
                    <pic:cNvPicPr/>
                  </pic:nvPicPr>
                  <pic:blipFill>
                    <a:blip r:embed="rId28"/>
                    <a:stretch>
                      <a:fillRect/>
                    </a:stretch>
                  </pic:blipFill>
                  <pic:spPr>
                    <a:xfrm>
                      <a:off x="0" y="0"/>
                      <a:ext cx="5580000" cy="1868601"/>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2).</w:t>
      </w:r>
    </w:p>
    <w:p>
      <w:pPr>
        <w:pStyle w:val="Ttulo3"/>
      </w:pPr>
      <w:r>
        <w:t xml:space="preserve">Análisis de los resultados</w:t>
      </w:r>
    </w:p>
    <w:p w:rsidR="00AC2941" w:rsidRPr="00AC2941" w:rsidRDefault="00AC2941" w:rsidP="00AC2941">
      <w:pPr>
        <w:rPr>
          <w:rFonts w:eastAsia="Arial" w:cs="Arial"/>
          <w:color w:val="000000" w:themeColor="text1"/>
        </w:rPr>
      </w:pPr>
      <w:r>
        <w:t xml:space="preserve">Random Forest obtuvo el mejor desempeño en casi todas las métricas: F1 = 0,9251, accuracy = 0,9252, precision = 0,9258, AUC-ROC = 0,9781, PR-AUC = 0,9782 y recall al 1 % de FPR = 69,85 %. XGBoost quedó muy cerca (F1 = 0,9222; AUC-ROC = 0,9772) y superó marginalmente a Random Forest en recall (0,9258 frente a 0,9245), pero a costa de una tasa de falsos positivos mayor (8,20 % frente a 7,41 %); la red neuronal densa fue la de menor desempeño en todas las métricas (F1 = 0,9085; FNR = 10,14 %). La diferencia entre los dos ensambles de árboles es de solo 0,3 puntos de F1, como cabía esperar entre modelos de la misma familia entrenados sobre las mismas 15 variables, mientras que la red neuronal quedó 1,7 puntos por debajo, en línea con la evidencia de que los métodos basados en árboles siguen dominando en datos tabulares. En términos prácticos, con el umbral de 0,5 Random Forest marcó como maliciosos 741 de cada 10.000 archivos benignos (20.016 de 269.940) y dejó pasar 755 de cada 10.000 archivos maliciosos (20.383 de 270.000); es decir, tanto la FPR (7,41 %) como la FNR (7,55 %) quedaron por encima del 5 % fijado como meta para los falsos positivos. </w:t>
      </w:r>
      <w:r>
        <w:t xml:space="preserve">La Figura 9 presenta las curvas ROC en escala logarítmica y deja ver qué se gana y qué se pierde al mover el umbral: para tener solo 1 % de falsas alarmas, el umbral tiene que subir a 0,904 y el recall baja al 69,85 %, muy por debajo del 94,48 % que reportan Joyce et al. [1] con su clasificador de referencia, que usa las 2.568 características y los 2,3 millones de archivos PE. Esa diferencia de unos 25 puntos cuando se exigen pocas falsas alarmas muestra cuánto cuesta trabajar con 15 variables y con el 23,5 % de los datos de entrenamiento. En el conjunto de desafío la diferencia es todavía más grande: Random Forest encontró el 57,29 % del malware evasivo (XGBoost 51,85 % y la red neuronal 36,42 %), con un AUC-ROC de 0,907 y un PR-AUC de 0,295 al mezclarlo con los archivos benignos de la prueba, mientras que el clasificador de referencia obtuvo un PR-AUC de 0,654 en el desafío Win32 [1].</w:t>
      </w:r>
      <w:r>
        <w:t xml:space="preserve"> Casi la mitad de los archivos que ningún antivirus detectó en su primer análisis también evaden al sistema, lo que confirma que el malware evasivo es sustancialmente más difícil que el malware promedio y que las 15 características estructurales elegidas —pensadas para discriminar el caso general— capturan solo una parte de las señales que lo delatan.</w:t>
      </w:r>
    </w:p>
    <w:p w:rsidR="00AC2941" w:rsidRPr="00AC2941" w:rsidRDefault="00AC2941" w:rsidP="00AC2941">
      <w:pPr>
        <w:rPr>
          <w:rFonts w:eastAsia="Arial" w:cs="Arial"/>
          <w:color w:val="000000" w:themeColor="text1"/>
        </w:rPr>
      </w:pPr>
      <w:r>
        <w:t xml:space="preserve">La Figura 11 muestra el F1 semana a semana sobre la prueba temporal, es decir, cómo se comporta cada modelo a medida que los archivos se alejan en el tiempo del periodo de entrenamiento, y la Figura 12 desagrega el desempeño por formato (Win32, Win64 y .NET) y el recall sobre el conjunto de desafío por formato. Los tres modelos presentan la misma forma: el F1 de Random Forest se mantuvo entre 0,934 y 0,937 en las cinco primeras semanas de la prueba (semanas 52 a 56) y cayó de manera abrupta a partir de la semana 57 para situarse entre 0,913 y 0,922 en las siete semanas siguientes, con el mínimo en la semana 60 (0,913): una degradación cercana a dos puntos de F1 en apenas tres meses, que por su carácter escalonado sugiere la aparición de nuevas familias o campañas de malware más que un deterioro gradual. Por formato, las diferencias en la prueba temporal son pequeñas (F1 de 0,929 en Win64, 0,924 en Win32 y 0,922 en .NET para Random Forest), pero en el conjunto de desafío son grandes: el sistema detectó el 78,3 % del malware evasivo .NET frente al 52,8 % en Win32 y el 53,7 % en Win64 (la red neuronal, en cambio, solo detectó el 14,7 % del evasivo .NET), lo que indica que el malware evasivo compilado de forma nativa es el más difícil para un modelo basado en características estructurales. Estos resultados matizan la vigencia de dos a tres años estimada en el planteamiento del problema: si el F1 pierde cerca de dos puntos en doce semanas, mantener la efectividad exige reentrenar el modelo con muestras recientes con una periodicidad mucho menor (del orden de meses), tarea que el notebook del proyecto permite ejecutar de forma reproducible.</w:t>
      </w:r>
    </w:p>
    <w:p>
      <w:pPr>
        <w:pStyle w:val="Descripcin"/>
        <w:keepNext/>
      </w:pPr>
      <w:r>
        <w:rPr>
          <w:rFonts w:ascii="Arial" w:hAnsi="Arial" w:cs="Arial"/>
          <w:b/>
          <w:bCs/>
          <w:color w:val="000000"/>
          <w:sz w:val="20"/>
          <w:szCs w:val="20"/>
        </w:rPr>
        <w:t xml:space="preserve">Figura 11. Deriva temporal: F1 por semana sobre los archivos posteriores al entrenamiento</w:t>
      </w:r>
    </w:p>
    <w:p>
      <w:pPr>
        <w:keepNext/>
        <w:jc w:val="center"/>
      </w:pPr>
      <w:r>
        <w:drawing>
          <wp:inline xmlns:a="http://schemas.openxmlformats.org/drawingml/2006/main" xmlns:pic="http://schemas.openxmlformats.org/drawingml/2006/picture">
            <wp:extent cx="5220000" cy="2707896"/>
            <wp:docPr id="1925695364" name="Picture 1925695364"/>
            <wp:cNvGraphicFramePr>
              <a:graphicFrameLocks noChangeAspect="1"/>
            </wp:cNvGraphicFramePr>
            <a:graphic>
              <a:graphicData uri="http://schemas.openxmlformats.org/drawingml/2006/picture">
                <pic:pic>
                  <pic:nvPicPr>
                    <pic:cNvPr id="0" name="fig_f1_por_semana.png"/>
                    <pic:cNvPicPr/>
                  </pic:nvPicPr>
                  <pic:blipFill>
                    <a:blip r:embed="rId29"/>
                    <a:stretch>
                      <a:fillRect/>
                    </a:stretch>
                  </pic:blipFill>
                  <pic:spPr>
                    <a:xfrm>
                      <a:off x="0" y="0"/>
                      <a:ext cx="5220000" cy="2707896"/>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2).</w:t>
      </w:r>
    </w:p>
    <w:p>
      <w:pPr>
        <w:pStyle w:val="Descripcin"/>
        <w:keepNext/>
      </w:pPr>
      <w:r>
        <w:rPr>
          <w:rFonts w:ascii="Arial" w:hAnsi="Arial" w:cs="Arial"/>
          <w:b/>
          <w:bCs/>
          <w:color w:val="000000"/>
          <w:sz w:val="20"/>
          <w:szCs w:val="20"/>
        </w:rPr>
        <w:t xml:space="preserve">Figura 12. Desempeño por formato de archivo en la prueba temporal y recall por formato en el conjunto de desafío</w:t>
      </w:r>
    </w:p>
    <w:p>
      <w:pPr>
        <w:keepNext/>
        <w:jc w:val="center"/>
      </w:pPr>
      <w:r>
        <w:drawing>
          <wp:inline xmlns:a="http://schemas.openxmlformats.org/drawingml/2006/main" xmlns:pic="http://schemas.openxmlformats.org/drawingml/2006/picture">
            <wp:extent cx="5580000" cy="2353159"/>
            <wp:docPr id="1925695365" name="Picture 1925695365"/>
            <wp:cNvGraphicFramePr>
              <a:graphicFrameLocks noChangeAspect="1"/>
            </wp:cNvGraphicFramePr>
            <a:graphic>
              <a:graphicData uri="http://schemas.openxmlformats.org/drawingml/2006/picture">
                <pic:pic>
                  <pic:nvPicPr>
                    <pic:cNvPr id="0" name="fig_desempeno_por_tipo.png"/>
                    <pic:cNvPicPr/>
                  </pic:nvPicPr>
                  <pic:blipFill>
                    <a:blip r:embed="rId30"/>
                    <a:stretch>
                      <a:fillRect/>
                    </a:stretch>
                  </pic:blipFill>
                  <pic:spPr>
                    <a:xfrm>
                      <a:off x="0" y="0"/>
                      <a:ext cx="5580000" cy="2353159"/>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2).</w:t>
      </w:r>
    </w:p>
    <w:p w:rsidR="00AC2941" w:rsidRPr="00AC2941" w:rsidRDefault="00AC2941" w:rsidP="00AC2941">
      <w:pPr>
        <w:rPr>
          <w:rFonts w:eastAsia="Arial" w:cs="Arial"/>
          <w:color w:val="000000" w:themeColor="text1"/>
        </w:rPr>
      </w:pPr>
      <w:r>
        <w:t>En cuanto a los tiempos, Random Forest fue con diferencia el modelo más costoso de entrenar: 46,5 minutos incluida la búsqueda de hiperparámetros, frente a 5,3 minutos de XGBoost y 2,4 de la red neuronal, y produjo un modelo de 138 MB (250 árboles de hasta 25 niveles) frente a 0,6 MB de XGBoost. En inferencia, XGBoost es seis veces más rápido que Random Forest por archivo en lote (0,005 frente a 0,030 ms) y en la predicción unitaria —la que percibe el usuario de la interfaz— la latencia mediana fue de 0,4 ms para XGBoost, 16,5 ms para Random Forest y 53,5 ms para la red neuronal (por la sobrecarga fija de cada llamada a TensorFlow). Las tres cifras están al menos dos órdenes de magnitud por debajo de la meta de 10 s, de modo que el modelo no es el cuello de botella de la latencia del sistema; como se muestra en el capítulo siguiente, lo es la extracción de características.</w:t>
      </w:r>
    </w:p>
    <w:p>
      <w:pPr>
        <w:pStyle w:val="Ttulo3"/>
      </w:pPr>
      <w:r>
        <w:t xml:space="preserve">Selección del modelo final</w:t>
      </w:r>
    </w:p>
    <w:p w:rsidR="00AC2941" w:rsidRPr="00AC2941" w:rsidRDefault="00AC2941" w:rsidP="00AC2941">
      <w:pPr>
        <w:rPr>
          <w:rFonts w:eastAsia="Arial" w:cs="Arial"/>
          <w:color w:val="000000" w:themeColor="text1"/>
        </w:rPr>
      </w:pPr>
      <w:r>
        <w:t xml:space="preserve">La selección se hizo con la regla fijada en la metodología: (1) se priorizan los modelos que cumplen la meta de falsos positivos (FPR ≤ 5 %); (2) entre ellos se elige el de mayor recall, porque el falso negativo es el error más costoso; (3) los empates se resuelven por F1 y luego por latencia; y (4) si ninguno cumpliera la meta de FPR se tomaría el de mayor F1 documentando el incumplimiento. Ningún modelo alcanzó la meta de falsos positivos (7,41 %, 8,20 % y 7,97 %), por lo que se aplicó el criterio subsidiario (4): el modelo seleccionado fue </w:t>
      </w:r>
      <w:r>
        <w:rPr>
          <w:b/>
          <w:bCs/>
        </w:rPr>
        <w:t xml:space="preserve">Random Forest</w:t>
      </w:r>
      <w:r>
        <w:t>, el de mayor F1, con recall = 0,9245, F1 = 0,9251, FPR = 7,41 % y una latencia de 16,5 ms por archivo. Frente a XGBoost, cuyo recall es apenas 0,13 puntos mayor, Random Forest presenta 0,8 puntos menos de falsas alarmas, mayor F1, mayor recall al 1 % de FPR (69,9 % frente a 67,3 %) y, sobre todo, mayor capacidad de detección del malware evasivo (57,3 % frente a 51,9 %); las ventajas de XGBoost —un modelo casi 250 veces más liviano y unas 46 veces más rápido en la predicción unitaria— no son determinantes porque la latencia del modelo es despreciable frente a la meta de 10 s. La red neuronal quedó descartada por ser inferior en todas las métricas, con una tasa de falsos negativos del 10,1 % y la mayor latencia unitaria. La Tabla 13 contrasta el modelo seleccionado con las metas de la compuerta KPI-2.</w:t>
      </w:r>
    </w:p>
    <w:p>
      <w:pPr>
        <w:pStyle w:val="Descripcin"/>
        <w:keepNext/>
      </w:pPr>
      <w:r>
        <w:rPr>
          <w:rFonts w:ascii="Arial" w:hAnsi="Arial" w:cs="Arial"/>
          <w:b/>
          <w:bCs/>
          <w:color w:val="000000"/>
          <w:sz w:val="20"/>
          <w:szCs w:val="20"/>
        </w:rPr>
        <w:t xml:space="preserve">Tabla 13. Verificación de la compuerta KPI-2 con el modelo seleccionado</w:t>
      </w:r>
    </w:p>
    <w:tbl>
      <w:tblPr>
        <w:tblStyle w:val="Tablaconcuadrcula"/>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2000"/>
        <w:gridCol w:w="2400"/>
        <w:gridCol w:w="2000"/>
      </w:tblGrid>
      <w:tr>
        <w:trPr>
          <w:tblHeader/>
        </w:trPr>
        <w:tc>
          <w:tcPr>
            <w:tcW w:w="36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Indicador</w:t>
            </w:r>
          </w:p>
        </w:tc>
        <w:tc>
          <w:tcPr>
            <w:tcW w:w="20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Meta</w:t>
            </w:r>
          </w:p>
        </w:tc>
        <w:tc>
          <w:tcPr>
            <w:tcW w:w="24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Resultado</w:t>
            </w:r>
          </w:p>
        </w:tc>
        <w:tc>
          <w:tcPr>
            <w:tcW w:w="20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Cumple</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F1-score (prueba temporal)</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0,95</w:t>
            </w:r>
          </w:p>
        </w:tc>
        <w:tc>
          <w:tcPr>
            <w:tcW w:w="24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0,9251</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No</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Tasa de falsos positivos</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5 %</w:t>
            </w:r>
          </w:p>
        </w:tc>
        <w:tc>
          <w:tcPr>
            <w:tcW w:w="24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7,41 %</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No</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Latencia de predicción por archivo</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&lt; 10 s</w:t>
            </w:r>
          </w:p>
        </w:tc>
        <w:tc>
          <w:tcPr>
            <w:tcW w:w="2400" w:type="dxa"/>
            <w:tcMar>
              <w:top w:w="60" w:type="dxa"/>
              <w:left w:w="100" w:type="dxa"/>
              <w:bottom w:w="60" w:type="dxa"/>
              <w:right w:w="100" w:type="dxa"/>
            </w:tcMar>
            <w:vAlign w:val="center"/>
          </w:tcPr>
          <w:p>
            <w:pPr>
              <w:spacing w:before="0" w:after="0"/>
              <w:jc w:val="left"/>
            </w:pPr>
            <w:r>
              <w:rPr>
                <w:rFonts w:ascii="Arial" w:hAnsi="Arial" w:cs="Arial"/>
                <w:sz w:val="18"/>
                <w:szCs w:val="18"/>
              </w:rPr>
              <w:t>16,5 ms (mediana); 23,4 ms (p95)</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Sí</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Recall (informativo)</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lo más alto posible</w:t>
            </w:r>
          </w:p>
        </w:tc>
        <w:tc>
          <w:tcPr>
            <w:tcW w:w="24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0,9245</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Recall en el conjunto de desafío (informativo)</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reportado</w:t>
            </w:r>
          </w:p>
        </w:tc>
        <w:tc>
          <w:tcPr>
            <w:tcW w:w="24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57,29 %</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w:t>
            </w:r>
          </w:p>
        </w:tc>
      </w:tr>
    </w:tbl>
    <w:p>
      <w:pPr>
        <w:spacing w:before="60" w:after="240"/>
        <w:jc w:val="left"/>
      </w:pPr>
      <w:r>
        <w:rPr>
          <w:rFonts w:ascii="Arial" w:hAnsi="Arial" w:cs="Arial"/>
          <w:i/>
          <w:iCs/>
          <w:sz w:val="18"/>
          <w:szCs w:val="18"/>
        </w:rPr>
        <w:t xml:space="preserve">Fuente: elaboración propia (notebook, Fase 2).</w:t>
      </w:r>
    </w:p>
    <w:p>
      <w:pPr>
        <w:pStyle w:val="Ttulo3"/>
      </w:pPr>
      <w:r>
        <w:t xml:space="preserve">Resultado y conclusión del capítulo</w:t>
      </w:r>
    </w:p>
    <w:p w:rsidR="00AC2941" w:rsidRPr="00AC2941" w:rsidRDefault="00AC2941" w:rsidP="00AC2941">
      <w:pPr>
        <w:rPr>
          <w:rFonts w:eastAsia="Arial" w:cs="Arial"/>
          <w:color w:val="000000" w:themeColor="text1"/>
        </w:rPr>
      </w:pPr>
      <w:r>
        <w:t xml:space="preserve">El segundo objetivo específico se cumplió en cuanto a su propósito —se desarrolló, comparó y seleccionó de forma reproducible un sistema de clasificación que distingue archivos maliciosos y benignos, con un F1 de 0,9251 y una tasa de falsos positivos del 7,41 % sobre archivos posteriores a los de entrenamiento, y que detecta el 57,29 % del malware evasivo del conjunto de desafío; el modelo, su escalador y sus hiperparámetros quedaron serializados para la Fase 3—, pero dos de las tres metas cuantitativas de la compuerta KPI-2 no se alcanzaron: el F1 quedó 2,5 puntos por debajo de 0,95 y la FPR 2,4 puntos por encima del 5 %. Las causas son identificables y coherentes entre sí. La principal es la reducción de dimensionalidad: la curva K vs. F1 del capítulo anterior muestra que, en validación, el F1 sube de 0,910 con 15 características a 0,945 con 50 y a 0,953 con 150, de modo que la regla del 95 % de F1 conservado, fijada de antemano, privilegió la reducción (99,4 %) sobre el desempeño, y el modelo final reproduce esa brecha sobre la prueba temporal. </w:t>
      </w:r>
      <w:r>
        <w:t xml:space="preserve">Otras causas que también influyen son haber usado solo el 23,5 % del entrenamiento disponible y la evaluación temporal, que es más exigente que la partición aleatoria con la que los trabajos sobre EMBER2018 (la referencia usada para fijar las metas) llegan a valores de AUC-ROC cercanos a 0,999 [14], [54]; además, la caída del F1 desde la semana 57 indica que parte de los errores viene de malware que todavía no existía cuando se entrenó el modelo. Esto tiene dos consecuencias. Para el usuario final, el sistema acierta con 92,5 de cada 100 archivos y da una falsa alarma en cerca de 7 de cada 100 archivos legítimos: sirve como segunda opinión, pero no debería ser el único control. Para el proyecto, no pasar la compuerta activa el regreso a la Fase 1 que prevé el método incremental; la corrección más directa es subir el porcentaje de F1 que se debe conservar (por ejemplo al 99 %, que según la curva equivale a K = 50 y mantiene una reducción del 98 %), y esto se propone en las conclusiones como la primera línea de trabajo futuro</w:t>
      </w:r>
      <w:r>
        <w:t xml:space="preserve">.</w:t>
      </w:r>
    </w:p>
    <w:p w14:paraId="42737EDB" w14:textId="5A7760E4" w:rsidR="00D011BC" w:rsidRPr="009E5483" w:rsidRDefault="0035202A" w:rsidP="009E5483">
      <w:pPr>
        <w:pStyle w:val="Ttulo2"/>
        <w:rPr>
          <w:b/>
          <w:bCs/>
        </w:rPr>
      </w:pPr>
      <w:bookmarkStart w:id="49" w:name="_Toc240146222"/>
      <w:r>
        <w:rPr>
          <w:b/>
          <w:bCs/>
        </w:rPr>
        <w:t>DESARROLLO DEL TERCER OBJETIVO</w:t>
      </w:r>
      <w:bookmarkEnd w:id="49"/>
    </w:p>
    <w:p w:rsidR="00786395" w:rsidRDefault="00786395" w:rsidP="009E5483">
      <w:pPr>
        <w:pStyle w:val="Ttulo2"/>
        <w:rPr>
          <w:rFonts w:eastAsia="Arial" w:cs="Arial"/>
          <w:color w:val="000000" w:themeColor="text1"/>
          <w:lang w:val="es"/>
        </w:rPr>
      </w:pPr>
      <w:r>
        <w:t xml:space="preserve">DESPLIEGUE DEL SISTEMA EN UNA INTERFAZ INTERACTIVA CON EXPLICABILIDAD</w:t>
      </w:r>
    </w:p>
    <w:p w:rsidR="00AC2941" w:rsidRPr="00AC2941" w:rsidRDefault="00AC2941" w:rsidP="00AC2941">
      <w:pPr>
        <w:rPr>
          <w:rFonts w:eastAsia="Arial" w:cs="Arial"/>
          <w:color w:val="000000" w:themeColor="text1"/>
        </w:rPr>
      </w:pPr>
      <w:r>
        <w:t xml:space="preserve">En este capítulo se trabaja el tercer objetivo específico: poner el sistema en una interfaz interactiva que une el modelo elegido con inteligencia artificial explicable para justificar sus predicciones, y mostrar los resultados de forma que cualquier persona los entienda</w:t>
      </w:r>
      <w:r>
        <w:t xml:space="preserve">. Se describe primero la integración de la explicabilidad, luego la arquitectura y la interfaz, y finalmente las pruebas funcionales, de rendimiento y de usabilidad.</w:t>
      </w:r>
    </w:p>
    <w:p>
      <w:pPr>
        <w:pStyle w:val="Ttulo3"/>
      </w:pPr>
      <w:r>
        <w:t xml:space="preserve">Integración de la explicabilidad (SHAP y LIME)</w:t>
      </w:r>
    </w:p>
    <w:p w:rsidR="00AC2941" w:rsidRPr="00AC2941" w:rsidRDefault="00AC2941" w:rsidP="00AC2941">
      <w:pPr>
        <w:rPr>
          <w:rFonts w:eastAsia="Arial" w:cs="Arial"/>
          <w:color w:val="000000" w:themeColor="text1"/>
        </w:rPr>
      </w:pPr>
      <w:r>
        <w:t xml:space="preserve">Sobre el modelo seleccionado en la Fase 2 se integró SHAP [44] como técnica principal de explicación —con el algoritmo para modelos de árboles (TreeExplainer); dado que el Random Forest seleccionado tiene 250 árboles de hasta 25 niveles y decenas de miles de hojas, se usó su variante aproximada de recorrido de árboles, cuya aditividad se verifica más abajo— y LIME [45] como técnica de contraste. La explicación </w:t>
      </w:r>
      <w:r>
        <w:rPr>
          <w:b/>
          <w:bCs/>
        </w:rPr>
        <w:t xml:space="preserve">global</w:t>
      </w:r>
      <w:r>
        <w:t xml:space="preserve"> identifica qué características pesan más en las decisiones del modelo sobre una muestra estratificada de 2.000 archivos de la prueba temporal (1.000 maliciosos y 1.000 benignos; Figura 13), agrupadas también por grupo de características para facilitar su lectura; la explicación </w:t>
      </w:r>
      <w:r>
        <w:rPr>
          <w:b/>
          <w:bCs/>
        </w:rPr>
        <w:t xml:space="preserve">local</w:t>
      </w:r>
      <w:r>
        <w:t xml:space="preserve"> descompone cada predicción individual en el aporte de cada característica (Figura 14 para un archivo malicioso y Figura 15 con la explicación LIME del mismo archivo).</w:t>
      </w:r>
    </w:p>
    <w:p>
      <w:pPr>
        <w:pStyle w:val="Descripcin"/>
        <w:keepNext/>
      </w:pPr>
      <w:r>
        <w:rPr>
          <w:rFonts w:ascii="Arial" w:hAnsi="Arial" w:cs="Arial"/>
          <w:b/>
          <w:bCs/>
          <w:color w:val="000000"/>
          <w:sz w:val="20"/>
          <w:szCs w:val="20"/>
        </w:rPr>
        <w:t xml:space="preserve">Figura 13. Explicación global SHAP: características con mayor aporte medio a las decisiones del modelo seleccionado</w:t>
      </w:r>
    </w:p>
    <w:p>
      <w:pPr>
        <w:keepNext/>
        <w:jc w:val="center"/>
      </w:pPr>
      <w:r>
        <w:drawing>
          <wp:inline xmlns:a="http://schemas.openxmlformats.org/drawingml/2006/main" xmlns:pic="http://schemas.openxmlformats.org/drawingml/2006/picture">
            <wp:extent cx="5040000" cy="2759400"/>
            <wp:docPr id="1925695366" name="Picture 1925695366"/>
            <wp:cNvGraphicFramePr>
              <a:graphicFrameLocks noChangeAspect="1"/>
            </wp:cNvGraphicFramePr>
            <a:graphic>
              <a:graphicData uri="http://schemas.openxmlformats.org/drawingml/2006/picture">
                <pic:pic>
                  <pic:nvPicPr>
                    <pic:cNvPr id="0" name="fig_shap_global_barras.png"/>
                    <pic:cNvPicPr/>
                  </pic:nvPicPr>
                  <pic:blipFill>
                    <a:blip r:embed="rId31"/>
                    <a:stretch>
                      <a:fillRect/>
                    </a:stretch>
                  </pic:blipFill>
                  <pic:spPr>
                    <a:xfrm>
                      <a:off x="0" y="0"/>
                      <a:ext cx="5040000" cy="2759400"/>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3).</w:t>
      </w:r>
    </w:p>
    <w:p>
      <w:pPr>
        <w:pStyle w:val="Descripcin"/>
        <w:keepNext/>
      </w:pPr>
      <w:r>
        <w:rPr>
          <w:rFonts w:ascii="Arial" w:hAnsi="Arial" w:cs="Arial"/>
          <w:b/>
          <w:bCs/>
          <w:color w:val="000000"/>
          <w:sz w:val="20"/>
          <w:szCs w:val="20"/>
        </w:rPr>
        <w:t xml:space="preserve">Figura 14. Explicación local SHAP (waterfall) de un archivo malicioso de la prueba temporal</w:t>
      </w:r>
    </w:p>
    <w:p>
      <w:pPr>
        <w:keepNext/>
        <w:jc w:val="center"/>
      </w:pPr>
      <w:r>
        <w:drawing>
          <wp:inline xmlns:a="http://schemas.openxmlformats.org/drawingml/2006/main" xmlns:pic="http://schemas.openxmlformats.org/drawingml/2006/picture">
            <wp:extent cx="5220000" cy="2924343"/>
            <wp:docPr id="1925695367" name="Picture 1925695367"/>
            <wp:cNvGraphicFramePr>
              <a:graphicFrameLocks noChangeAspect="1"/>
            </wp:cNvGraphicFramePr>
            <a:graphic>
              <a:graphicData uri="http://schemas.openxmlformats.org/drawingml/2006/picture">
                <pic:pic>
                  <pic:nvPicPr>
                    <pic:cNvPr id="0" name="fig_shap_local_malicioso.png"/>
                    <pic:cNvPicPr/>
                  </pic:nvPicPr>
                  <pic:blipFill>
                    <a:blip r:embed="rId32"/>
                    <a:stretch>
                      <a:fillRect/>
                    </a:stretch>
                  </pic:blipFill>
                  <pic:spPr>
                    <a:xfrm>
                      <a:off x="0" y="0"/>
                      <a:ext cx="5220000" cy="2924343"/>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3).</w:t>
      </w:r>
    </w:p>
    <w:p>
      <w:pPr>
        <w:pStyle w:val="Descripcin"/>
        <w:keepNext/>
      </w:pPr>
      <w:r>
        <w:rPr>
          <w:rFonts w:ascii="Arial" w:hAnsi="Arial" w:cs="Arial"/>
          <w:b/>
          <w:bCs/>
          <w:color w:val="000000"/>
          <w:sz w:val="20"/>
          <w:szCs w:val="20"/>
        </w:rPr>
        <w:t xml:space="preserve">Figura 15. Explicación LIME del mismo archivo malicioso (técnica de contraste)</w:t>
      </w:r>
    </w:p>
    <w:p>
      <w:pPr>
        <w:keepNext/>
        <w:jc w:val="center"/>
      </w:pPr>
      <w:r>
        <w:drawing>
          <wp:inline xmlns:a="http://schemas.openxmlformats.org/drawingml/2006/main" xmlns:pic="http://schemas.openxmlformats.org/drawingml/2006/picture">
            <wp:extent cx="5040000" cy="1837009"/>
            <wp:docPr id="1925695368" name="Picture 1925695368"/>
            <wp:cNvGraphicFramePr>
              <a:graphicFrameLocks noChangeAspect="1"/>
            </wp:cNvGraphicFramePr>
            <a:graphic>
              <a:graphicData uri="http://schemas.openxmlformats.org/drawingml/2006/picture">
                <pic:pic>
                  <pic:nvPicPr>
                    <pic:cNvPr id="0" name="fig_lime_ejemplo.png"/>
                    <pic:cNvPicPr/>
                  </pic:nvPicPr>
                  <pic:blipFill>
                    <a:blip r:embed="rId33"/>
                    <a:stretch>
                      <a:fillRect/>
                    </a:stretch>
                  </pic:blipFill>
                  <pic:spPr>
                    <a:xfrm>
                      <a:off x="0" y="0"/>
                      <a:ext cx="5040000" cy="1837009"/>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3).</w:t>
      </w:r>
    </w:p>
    <w:p w:rsidR="00AC2941" w:rsidRPr="00AC2941" w:rsidRDefault="00AC2941" w:rsidP="00AC2941">
      <w:pPr>
        <w:rPr>
          <w:rFonts w:eastAsia="Arial" w:cs="Arial"/>
          <w:color w:val="000000" w:themeColor="text1"/>
        </w:rPr>
      </w:pPr>
      <w:r>
        <w:t xml:space="preserve">La calidad de las explicaciones se evaluó con indicadores cuantitativos, siguiendo la recomendación de la literatura de no confiar en una única técnica sin verificarla [34], [79]: la </w:t>
      </w:r>
      <w:r>
        <w:rPr>
          <w:b/>
          <w:bCs/>
        </w:rPr>
        <w:t xml:space="preserve">cobertura</w:t>
      </w:r>
      <w:r>
        <w:t xml:space="preserve"> (fracción de predicciones con una explicación válida), la </w:t>
      </w:r>
      <w:r>
        <w:rPr>
          <w:b/>
          <w:bCs/>
        </w:rPr>
        <w:t xml:space="preserve">fidelidad</w:t>
      </w:r>
      <w:r>
        <w:t xml:space="preserve"> de SHAP (la suma de las contribuciones más el valor base debe reproducir la salida del modelo; se reporta el error medio absoluto), el </w:t>
      </w:r>
      <w:r>
        <w:rPr>
          <w:b/>
          <w:bCs/>
        </w:rPr>
        <w:t xml:space="preserve">acuerdo SHAP-LIME</w:t>
      </w:r>
      <w:r>
        <w:t xml:space="preserve"> (índice de Jaccard entre los cinco factores principales de cada técnica sobre 100 archivos; Figura 16) y el </w:t>
      </w:r>
      <w:r>
        <w:rPr>
          <w:b/>
          <w:bCs/>
        </w:rPr>
        <w:t xml:space="preserve">tiempo por explicación</w:t>
      </w:r>
      <w:r>
        <w:t xml:space="preserve">. La Tabla 14 resume los resultados. En la explicación global dominan los encabezados PE, que concentran el 40 % del aporte total (medido como la suma de |SHAP| medio por grupo) y cuya característica principal, la bandera DLL, es por sí sola la variable más influyente del modelo (|SHAP| medio de 0,236 en la escala de probabilidad, más del doble que la siguiente, 0,093); les siguen la firma Authenticode (25 %: el tiempo de la firma más reciente y la profundidad de la cadena de certificados), las advertencias de formato (11 %: banderas sospechosas en una sección), el histograma byte-entropía (10 %: la celda de máxima entropía), la entropía del overlay (7 %) y la presencia de exportaciones (5 %). </w:t>
      </w:r>
      <w:r>
        <w:t xml:space="preserve">El gráfico de dispersión de valores SHAP del notebook indica hacia dónde empuja cada característica: ser una DLL, tener una firma reciente con una cadena de certificados profunda y declarar exportaciones llevan la decisión hacia benigno, mientras que las banderas de sección sospechosas, el contenido con máxima entropía y un overlay con alta entropía la llevan hacia malicioso. Esto concuerda con lo que se ve en el análisis de malware: las bibliotecas legítimas del sistema y de programas comerciales vienen firmadas y bien construidas, mientras que el malware usa empaquetadores y cifrado (que suben la entropía), secciones con permisos raros y datos pegados al ejecutable. En promedio, el acuerdo SHAP-LIME fue de 0,677 (índice de Jaccard): en el 80 % de los archivos las dos técnicas coincidieron en al menos cuatro de los cinco factores principales (y en el 19 %, en los cinco), y nunca hubo un acuerdo de cero. Esto indica que los factores que ve el usuario son confiables, aunque LIME cambia más de una ejecución a otra porque se basa en un muestreo aleatorio alrededor de cada archivo</w:t>
      </w:r>
      <w:r>
        <w:t>. La fidelidad de SHAP fue exacta (error medio 0,000000: el valor base más la suma de las contribuciones reproduce la probabilidad del modelo en los 2.000 archivos) y la cobertura del 100 %. En tiempo, SHAP tardó 0,6 ms por archivo frente a una mediana de 218,8 ms de LIME (cerca de 350 veces más), razón adicional para que la interfaz use SHAP y reserve LIME como técnica de verificación.</w:t>
      </w:r>
    </w:p>
    <w:p>
      <w:pPr>
        <w:pStyle w:val="Descripcin"/>
        <w:keepNext/>
      </w:pPr>
      <w:r>
        <w:rPr>
          <w:rFonts w:ascii="Arial" w:hAnsi="Arial" w:cs="Arial"/>
          <w:b/>
          <w:bCs/>
          <w:color w:val="000000"/>
          <w:sz w:val="20"/>
          <w:szCs w:val="20"/>
        </w:rPr>
        <w:t xml:space="preserve">Figura 16. Acuerdo entre SHAP y LIME: distribución del índice de Jaccard de los cinco factores principales</w:t>
      </w:r>
    </w:p>
    <w:p>
      <w:pPr>
        <w:keepNext/>
        <w:jc w:val="center"/>
      </w:pPr>
      <w:r>
        <w:drawing>
          <wp:inline xmlns:a="http://schemas.openxmlformats.org/drawingml/2006/main" xmlns:pic="http://schemas.openxmlformats.org/drawingml/2006/picture">
            <wp:extent cx="4500000" cy="2746988"/>
            <wp:docPr id="1925695369" name="Picture 1925695369"/>
            <wp:cNvGraphicFramePr>
              <a:graphicFrameLocks noChangeAspect="1"/>
            </wp:cNvGraphicFramePr>
            <a:graphic>
              <a:graphicData uri="http://schemas.openxmlformats.org/drawingml/2006/picture">
                <pic:pic>
                  <pic:nvPicPr>
                    <pic:cNvPr id="0" name="fig_acuerdo_shap_lime.png"/>
                    <pic:cNvPicPr/>
                  </pic:nvPicPr>
                  <pic:blipFill>
                    <a:blip r:embed="rId34"/>
                    <a:stretch>
                      <a:fillRect/>
                    </a:stretch>
                  </pic:blipFill>
                  <pic:spPr>
                    <a:xfrm>
                      <a:off x="0" y="0"/>
                      <a:ext cx="4500000" cy="2746988"/>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3).</w:t>
      </w:r>
    </w:p>
    <w:p>
      <w:pPr>
        <w:pStyle w:val="Descripcin"/>
        <w:keepNext/>
      </w:pPr>
      <w:r>
        <w:rPr>
          <w:rFonts w:ascii="Arial" w:hAnsi="Arial" w:cs="Arial"/>
          <w:b/>
          <w:bCs/>
          <w:color w:val="000000"/>
          <w:sz w:val="20"/>
          <w:szCs w:val="20"/>
        </w:rPr>
        <w:t xml:space="preserve">Tabla 14. Indicadores de calidad de la explicabilidad</w:t>
      </w:r>
    </w:p>
    <w:tbl>
      <w:tblPr>
        <w:tblStyle w:val="Tablaconcuadrcula"/>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000"/>
        <w:gridCol w:w="4000"/>
      </w:tblGrid>
      <w:tr>
        <w:trPr>
          <w:tblHeader/>
        </w:trPr>
        <w:tc>
          <w:tcPr>
            <w:tcW w:w="60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Indicador</w:t>
            </w:r>
          </w:p>
        </w:tc>
        <w:tc>
          <w:tcPr>
            <w:tcW w:w="40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Resultado</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Modelo explicado / técnica principal</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Random Forest / SHAP TreeExplainer (variante aproximada) en escala de probabilidad</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Archivos explicados (muestra de la prueba temporal)</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2.000 (1.000 maliciosos y 1.000 benignos); acierto del modelo en la muestra: 93,25 %</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Cobertura de explicación</w:t>
            </w:r>
          </w:p>
        </w:tc>
        <w:tc>
          <w:tcPr>
            <w:tcW w:w="4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100 %</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Error medio de fidelidad SHAP</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0,000000 (aditividad exacta)</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Acuerdo SHAP-LIME (Jaccard top-5, media)</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0,677 sobre 100 archivos (80 % con al menos 4 de 5 factores en común)</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Tiempo por explicación SHAP (ms)</w:t>
            </w:r>
          </w:p>
        </w:tc>
        <w:tc>
          <w:tcPr>
            <w:tcW w:w="4000" w:type="dxa"/>
            <w:tcMar>
              <w:top w:w="60" w:type="dxa"/>
              <w:left w:w="100" w:type="dxa"/>
              <w:bottom w:w="60" w:type="dxa"/>
              <w:right w:w="100" w:type="dxa"/>
            </w:tcMar>
            <w:vAlign w:val="center"/>
          </w:tcPr>
          <w:p>
            <w:pPr>
              <w:spacing w:before="0" w:after="0"/>
              <w:jc w:val="center"/>
            </w:pPr>
            <w:r>
              <w:rPr>
                <w:rFonts w:ascii="Arial" w:hAnsi="Arial" w:cs="Arial"/>
                <w:sz w:val="18"/>
                <w:szCs w:val="18"/>
              </w:rPr>
              <w:t>0,6</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Tiempo por explicación LIME (ms, mediana)</w:t>
            </w:r>
          </w:p>
        </w:tc>
        <w:tc>
          <w:tcPr>
            <w:tcW w:w="4000" w:type="dxa"/>
            <w:tcMar>
              <w:top w:w="60" w:type="dxa"/>
              <w:left w:w="100" w:type="dxa"/>
              <w:bottom w:w="60" w:type="dxa"/>
              <w:right w:w="100" w:type="dxa"/>
            </w:tcMar>
            <w:vAlign w:val="center"/>
          </w:tcPr>
          <w:p>
            <w:pPr>
              <w:spacing w:before="0" w:after="0"/>
              <w:jc w:val="center"/>
            </w:pPr>
            <w:r>
              <w:rPr>
                <w:rFonts w:ascii="Arial" w:hAnsi="Arial" w:cs="Arial"/>
                <w:sz w:val="18"/>
                <w:szCs w:val="18"/>
              </w:rPr>
              <w:t>218,8</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Grupos de características con mayor aporte</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Encabezados PE (40 %), firma Authenticode (25 %), advertencias de formato (11 %), histograma byte-entropía (10 %), secciones (7 %), exportaciones (5 %), directorios de datos (2 %)</w:t>
            </w:r>
          </w:p>
        </w:tc>
      </w:tr>
    </w:tbl>
    <w:p>
      <w:pPr>
        <w:spacing w:before="60" w:after="240"/>
        <w:jc w:val="left"/>
      </w:pPr>
      <w:r>
        <w:rPr>
          <w:rFonts w:ascii="Arial" w:hAnsi="Arial" w:cs="Arial"/>
          <w:i/>
          <w:iCs/>
          <w:sz w:val="18"/>
          <w:szCs w:val="18"/>
        </w:rPr>
        <w:t xml:space="preserve">Fuente: elaboración propia (notebook, Fase 3: fase3_resumen.json).</w:t>
      </w:r>
    </w:p>
    <w:p>
      <w:pPr>
        <w:pStyle w:val="Ttulo3"/>
      </w:pPr>
      <w:r>
        <w:t xml:space="preserve">Traducción de las explicaciones a lenguaje natural</w:t>
      </w:r>
    </w:p>
    <w:p w:rsidR="00AC2941" w:rsidRPr="00AC2941" w:rsidRDefault="00AC2941" w:rsidP="00AC2941">
      <w:pPr>
        <w:rPr>
          <w:rFonts w:eastAsia="Arial" w:cs="Arial"/>
          <w:color w:val="000000" w:themeColor="text1"/>
        </w:rPr>
      </w:pPr>
      <w:r>
        <w:rPr/>
        <w:t xml:space="preserve">Los valores SHAP son números asociados a características con nombres técnicos (por ejemplo, header.characteristics.DLL o authenticode.latest_signing_time) que no le dicen nada a una persona sin formación técnica. Por eso se construyó una capa de traducción, el módulo traduccion_amigable.py, que la aplicación incorpora sin cambios. Para cada una de las 15 características seleccionadas, el módulo tiene una ficha con un nombre corto en español, una frase que describe lo que se encontró en el archivo a partir de su valor real (por ejemplo, “no tiene firma digital” o “es un programa ejecutable (.exe), no una biblioteca (DLL)”) y el término del glosario que la explica; si aparece una característica sin ficha, se usa una frase general de su grupo. A cada frase se le agrega el efecto en palabras —“para el sistema, esto aumentó (o redujo) la sospecha”— mucho, un poco o ligeramente, según si su aporte es al menos dos tercios, entre un tercio y dos tercios o menos de un tercio del mayor aporte del mismo archivo. El glosario tiene nueve términos (biblioteca DLL, firma digital, entropía, sección, exportaciones, reubicaciones, datos añadidos u overlay, encabezado y protecciones del sistema ASLR/DEP) y la interfaz muestra solo los que aparecen en las frases de cada análisis. La probabilidad se traduce además en un </w:t>
      </w:r>
      <w:r>
        <w:rPr>
          <w:b/>
          <w:bCs/>
        </w:rPr>
        <w:t>nivel de riesgo</w:t>
      </w:r>
      <w:r>
        <w:rPr/>
        <w:t xml:space="preserve"> (muy bajo, bajo, medio o alto) acompañado de una </w:t>
      </w:r>
      <w:r>
        <w:rPr>
          <w:b/>
          <w:bCs/>
        </w:rPr>
        <w:t>recomendación</w:t>
      </w:r>
      <w:r>
        <w:rPr/>
        <w:t xml:space="preserve"> concreta (por ejemplo, no ejecutar el archivo y eliminarlo, o verificarlo con un segundo antivirus). Para el archivo malicioso de la Figura 14 (probabilidad de malware de 0,997, riesgo alto), el sistema produjo estas cinco frases: “Es un programa ejecutable (.exe), no una biblioteca (DLL). Para el sistema, esto aumentó la sospecha mucho”; “Una de sus partes está marcada para poder modificarse y ejecutarse al mismo tiempo, algo poco habitual en programas normales y típico de código empaquetado” (aumentó la sospecha mucho); “Ofrece funciones a otros programas (tiene exportaciones), como suelen hacerlo las bibliotecas” (la redujo un poco); “Alrededor del 2 % de su contenido se ve muy desordenado, como pasa con datos comprimidos o cifrados” (la aumentó un poco); y “No tiene firma digital (o su firma no tiene sello de fecha)” (la aumentó un poco). Detrás de esas frases están los aportes SHAP +0,171, +0,162, −0,092, +0,075 y +0,071, que se pueden consultar en el panel de detalles técnicos de la interfaz. Para el archivo benigno de contraste (probabilidad de 0,007, riesgo muy bajo), las frases dicen que es una biblioteca (DLL) que otros programas usan (redujo la sospecha mucho; −0,237), que tiene firma digital con sello de fecha del 20/10/2024 y una cadena de 3 certificados (un poco; −0,106 y −0,093) y que casi nada de su contenido se ve comprimido o cifrado (ligeramente).</w:t>
      </w:r>
    </w:p>
    <w:p>
      <w:pPr>
        <w:pStyle w:val="Ttulo3"/>
      </w:pPr>
      <w:r>
        <w:t xml:space="preserve">Arquitectura del sistema e interfaz interactiva</w:t>
      </w:r>
    </w:p>
    <w:p w:rsidR="00AC2941" w:rsidRPr="00AC2941" w:rsidRDefault="00AC2941" w:rsidP="00AC2941">
      <w:pPr>
        <w:rPr>
          <w:rFonts w:eastAsia="Arial" w:cs="Arial"/>
          <w:color w:val="000000" w:themeColor="text1"/>
        </w:rPr>
      </w:pPr>
      <w:r>
        <w:rPr/>
        <w:t>La Figura 17 presenta la arquitectura del sistema desplegado. El usuario carga un archivo en la interfaz web construida con Gradio [46]. El sistema solo admite programas y bibliotecas de Windows: el selector de archivos muestra únicamente las extensiones admitidas (.exe, .dll, .sys, .ocx, .scr, .cpl y .drv) y el motor de análisis rechaza, con un mensaje en español que explica qué archivos se aceptan, los archivos vacíos, los de más de 50 MB, los de otra extensión, los que no empiezan con la firma “MZ” de los ejecutables de Windows y aquellos cuyos encabezados PE no reconoce el extractor. Con un archivo válido, el sistema calcula su huella SHA-256 y extrae las 2.568 características con el mismo extractor thrember con el que se construyó EMBER2024, de modo que cualquier archivo nuevo se representa exactamente igual que los datos de entrenamiento; a continuación conserva las 15 características seleccionadas, aplica el escalador ajustado en la Fase 2, obtiene la probabilidad de malware con el modelo seleccionado, calcula la explicación SHAP local y la traduce a lenguaje sencillo. El análisis es estático: el archivo nunca se ejecuta. La Figura 18 muestra la interfaz con un archivo analizado. Primero aparecen el resultado, con un color según el nivel de riesgo, la probabilidad de que el archivo sea malicioso y qué hacer; después, en la sección “¿Por qué lo dice el sistema?”, las cinco señales que más pesaron escritas en frases sencillas, una gráfica con esas señales (nombres en español y peso en palabras, sin ejes numéricos) y un glosario con los términos que aparecen en las frases. Los nombres técnicos de las características, sus valores, los aportes SHAP, la huella SHA-256 y el tiempo de análisis quedan en un panel plegable de detalles técnicos (Figura 19), pensado para quien tiene formación en el tema. Una segunda pestaña permite probar el sistema con ejemplos reales de la prueba temporal y del conjunto de desafío (de los que solo se almacenan sus características, no los archivos). Todo el motor de análisis está encapsulado en el módulo app_malware.py del repositorio, de modo que la misma lógica se usa en la interfaz y en las pruebas automatizadas.</w:t>
      </w:r>
    </w:p>
    <w:p>
      <w:pPr>
        <w:pStyle w:val="Descripcin"/>
        <w:keepNext/>
      </w:pPr>
      <w:r>
        <w:rPr>
          <w:rFonts w:ascii="Arial" w:hAnsi="Arial" w:cs="Arial"/>
          <w:b/>
          <w:bCs/>
          <w:color w:val="000000"/>
          <w:sz w:val="20"/>
          <w:szCs w:val="20"/>
        </w:rPr>
        <w:t xml:space="preserve">Figura 17. Arquitectura del sistema desplegado: flujo en línea y artefactos generados fuera de línea</w:t>
      </w:r>
    </w:p>
    <w:p>
      <w:pPr>
        <w:keepNext/>
        <w:jc w:val="center"/>
      </w:pPr>
      <w:r>
        <w:drawing>
          <wp:inline xmlns:a="http://schemas.openxmlformats.org/drawingml/2006/main" xmlns:pic="http://schemas.openxmlformats.org/drawingml/2006/picture">
            <wp:extent cx="5580000" cy="4005739"/>
            <wp:docPr id="1925695370" name="Picture 1925695370"/>
            <wp:cNvGraphicFramePr>
              <a:graphicFrameLocks noChangeAspect="1"/>
            </wp:cNvGraphicFramePr>
            <a:graphic>
              <a:graphicData uri="http://schemas.openxmlformats.org/drawingml/2006/picture">
                <pic:pic>
                  <pic:nvPicPr>
                    <pic:cNvPr id="0" name="fig_arquitectura_sistema.png"/>
                    <pic:cNvPicPr/>
                  </pic:nvPicPr>
                  <pic:blipFill>
                    <a:blip r:embed="rId35"/>
                    <a:stretch>
                      <a:fillRect/>
                    </a:stretch>
                  </pic:blipFill>
                  <pic:spPr>
                    <a:xfrm>
                      <a:off x="0" y="0"/>
                      <a:ext cx="5580000" cy="4005739"/>
                    </a:xfrm>
                    <a:prstGeom prst="rect"/>
                  </pic:spPr>
                </pic:pic>
              </a:graphicData>
            </a:graphic>
          </wp:inline>
        </w:drawing>
      </w:r>
    </w:p>
    <w:p>
      <w:pPr>
        <w:spacing w:before="60" w:after="240"/>
        <w:jc w:val="left"/>
      </w:pPr>
      <w:r>
        <w:rPr>
          <w:rFonts w:ascii="Arial" w:hAnsi="Arial" w:cs="Arial"/>
          <w:i/>
          <w:iCs/>
          <w:sz w:val="18"/>
          <w:szCs w:val="18"/>
        </w:rPr>
        <w:t xml:space="preserve">Fuente: elaboración propia.</w:t>
      </w:r>
    </w:p>
    <w:p>
      <w:pPr>
        <w:pStyle w:val="Descripcin"/>
        <w:keepNext/>
      </w:pPr>
      <w:r>
        <w:rPr>
          <w:rFonts w:ascii="Arial" w:hAnsi="Arial" w:cs="Arial"/>
          <w:b/>
          <w:bCs/>
          <w:color w:val="000000"/>
          <w:sz w:val="20"/>
          <w:szCs w:val="20"/>
        </w:rPr>
        <w:t xml:space="preserve">Figura 18. Interfaz web del sistema con el resultado del análisis de un archivo real (biblioteca pythoncom311.dll del paquete pywin32, clasificada como benigna)</w:t>
      </w:r>
    </w:p>
    <w:p>
      <w:pPr>
        <w:keepNext/>
        <w:jc w:val="center"/>
      </w:pPr>
      <w:r>
        <w:drawing>
          <wp:inline xmlns:a="http://schemas.openxmlformats.org/drawingml/2006/main" xmlns:pic="http://schemas.openxmlformats.org/drawingml/2006/picture">
            <wp:extent cx="5580000" cy="5915336"/>
            <wp:docPr id="1925695371" name="Picture 1925695371"/>
            <wp:cNvGraphicFramePr>
              <a:graphicFrameLocks noChangeAspect="1"/>
            </wp:cNvGraphicFramePr>
            <a:graphic>
              <a:graphicData uri="http://schemas.openxmlformats.org/drawingml/2006/picture">
                <pic:pic>
                  <pic:nvPicPr>
                    <pic:cNvPr id="0" name="fig_interfaz_gradio.png"/>
                    <pic:cNvPicPr/>
                  </pic:nvPicPr>
                  <pic:blipFill>
                    <a:blip r:embed="rId36"/>
                    <a:stretch>
                      <a:fillRect/>
                    </a:stretch>
                  </pic:blipFill>
                  <pic:spPr>
                    <a:xfrm>
                      <a:off x="0" y="0"/>
                      <a:ext cx="5580000" cy="5915336"/>
                    </a:xfrm>
                    <a:prstGeom prst="rect"/>
                  </pic:spPr>
                </pic:pic>
              </a:graphicData>
            </a:graphic>
          </wp:inline>
        </w:drawing>
      </w:r>
    </w:p>
    <w:p>
      <w:pPr>
        <w:spacing w:before="60" w:after="240"/>
        <w:jc w:val="left"/>
      </w:pPr>
      <w:r>
        <w:rPr>
          <w:rFonts w:ascii="Arial" w:hAnsi="Arial" w:cs="Arial"/>
          <w:i/>
          <w:iCs/>
          <w:sz w:val="18"/>
          <w:szCs w:val="18"/>
        </w:rPr>
        <w:t>Fuente: elaboración propia (captura de pantalla de la versión final de la aplicación, con el modelo y los artefactos de la corrida del notebook en Google Colab).</w:t>
      </w:r>
    </w:p>
    <w:p>
      <w:pPr>
        <w:pStyle w:val="Ttulo3"/>
      </w:pPr>
      <w:r>
        <w:t xml:space="preserve">Pruebas funcionales</w:t>
      </w:r>
    </w:p>
    <w:p w:rsidR="00AC2941" w:rsidRPr="00AC2941" w:rsidRDefault="00AC2941" w:rsidP="00AC2941">
      <w:pPr>
        <w:rPr>
          <w:rFonts w:eastAsia="Arial" w:cs="Arial"/>
          <w:color w:val="000000" w:themeColor="text1"/>
        </w:rPr>
      </w:pPr>
      <w:r>
        <w:t>Se definieron nueve casos de prueba funcionales que cubren el flujo principal, los casos límite y los errores controlados; se ejecutan de forma automatizada en el notebook contra el motor de análisis y registran un resultado PASA/FALLA. Los archivos de prueba son ejecutables PE mínimos construidos en el propio notebook (válidos para el analizador, sin código funcional), un archivo de texto (con su extensión .txt y con la extensión cambiada a .exe, para comprobar que se rechaza tanto por la extensión como por el contenido), un archivo vacío y un archivo que supera el límite de tamaño. La Tabla 15 resume los casos y sus resultados: las 9 pruebas fueron superadas. En la prueba PF-08, cinco de los seis ejemplos reales de EMBER2024 cargados en la interfaz (dos maliciosos y dos benignos de la prueba temporal y dos del conjunto de desafío) recibieron el veredicto coherente con su etiqueta, lo que es consistente con el desempeño medido en el capítulo anterior; el archivo PE mínimo construido para las pruebas —un ejecutable sin firma, sin exportaciones y con solo dos secciones— fue clasificado como malicioso con probabilidad 0,673 (riesgo medio), un falso positivo esperable dado que reúne varias de las características que el modelo asocia con el malware.</w:t>
      </w:r>
    </w:p>
    <w:p>
      <w:pPr>
        <w:pStyle w:val="Descripcin"/>
        <w:keepNext/>
      </w:pPr>
      <w:r>
        <w:rPr>
          <w:rFonts w:ascii="Arial" w:hAnsi="Arial" w:cs="Arial"/>
          <w:b/>
          <w:bCs/>
          <w:color w:val="000000"/>
          <w:sz w:val="20"/>
          <w:szCs w:val="20"/>
        </w:rPr>
        <w:t xml:space="preserve">Tabla 15. Casos de prueba funcionales y resultados</w:t>
      </w:r>
    </w:p>
    <w:tbl>
      <w:tblPr>
        <w:tblStyle w:val="Tablaconcuadrcula"/>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00"/>
        <w:gridCol w:w="3300"/>
        <w:gridCol w:w="3900"/>
        <w:gridCol w:w="1700"/>
      </w:tblGrid>
      <w:tr>
        <w:trPr>
          <w:tblHeader/>
        </w:trPr>
        <w:tc>
          <w:tcPr>
            <w:tcW w:w="11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Código</w:t>
            </w:r>
          </w:p>
        </w:tc>
        <w:tc>
          <w:tcPr>
            <w:tcW w:w="33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Caso de prueba</w:t>
            </w:r>
          </w:p>
        </w:tc>
        <w:tc>
          <w:tcPr>
            <w:tcW w:w="39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Resultado esperado</w:t>
            </w:r>
          </w:p>
        </w:tc>
        <w:tc>
          <w:tcPr>
            <w:tcW w:w="17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Resultado</w:t>
            </w:r>
          </w:p>
        </w:tc>
      </w:tr>
      <w:tr>
        <w:tc>
          <w:tcPr>
            <w:tcW w:w="11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PF-01</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Archivo PE válido</w:t>
            </w:r>
          </w:p>
        </w:tc>
        <w:tc>
          <w:tcPr>
            <w:tcW w:w="3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Veredicto, probabilidad en [0, 1] y al menos un factor explicado</w:t>
            </w:r>
          </w:p>
        </w:tc>
        <w:tc>
          <w:tcPr>
            <w:tcW w:w="1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PASA (veredicto MALICIOSO, p = 0,673, 5 factores)</w:t>
            </w:r>
          </w:p>
        </w:tc>
      </w:tr>
      <w:tr>
        <w:tc>
          <w:tcPr>
            <w:tcW w:w="11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PF-02</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PE con indicadores sospechosos (URL, PowerShell)</w:t>
            </w:r>
          </w:p>
        </w:tc>
        <w:tc>
          <w:tcPr>
            <w:tcW w:w="3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Se analiza sin error</w:t>
            </w:r>
          </w:p>
        </w:tc>
        <w:tc>
          <w:tcPr>
            <w:tcW w:w="1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PASA (p = 0,673, riesgo medio)</w:t>
            </w:r>
          </w:p>
        </w:tc>
      </w:tr>
      <w:tr>
        <w:tc>
          <w:tcPr>
            <w:tcW w:w="11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PF-03</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Archivo que no es PE (texto .txt y el mismo texto renombrado a .exe)</w:t>
            </w:r>
          </w:p>
        </w:tc>
        <w:tc>
          <w:tcPr>
            <w:tcW w:w="3900" w:type="dxa"/>
            <w:tcMar>
              <w:top w:w="60" w:type="dxa"/>
              <w:left w:w="100" w:type="dxa"/>
              <w:bottom w:w="60" w:type="dxa"/>
              <w:right w:w="100" w:type="dxa"/>
            </w:tcMar>
            <w:vAlign w:val="center"/>
          </w:tcPr>
          <w:p>
            <w:pPr>
              <w:spacing w:before="0" w:after="0"/>
              <w:jc w:val="left"/>
            </w:pPr>
            <w:r>
              <w:rPr>
                <w:rFonts w:ascii="Arial" w:hAnsi="Arial" w:cs="Arial"/>
                <w:sz w:val="18"/>
                <w:szCs w:val="18"/>
              </w:rPr>
              <w:t>Se rechaza por la extensión y por el contenido, con un mensaje que indica qué archivos se admiten</w:t>
            </w:r>
          </w:p>
        </w:tc>
        <w:tc>
          <w:tcPr>
            <w:tcW w:w="1700" w:type="dxa"/>
            <w:tcMar>
              <w:top w:w="60" w:type="dxa"/>
              <w:left w:w="100" w:type="dxa"/>
              <w:bottom w:w="60" w:type="dxa"/>
              <w:right w:w="100" w:type="dxa"/>
            </w:tcMar>
            <w:vAlign w:val="center"/>
          </w:tcPr>
          <w:p>
            <w:pPr>
              <w:spacing w:before="0" w:after="0"/>
              <w:jc w:val="left"/>
            </w:pPr>
            <w:r>
              <w:rPr>
                <w:rFonts w:ascii="Arial" w:hAnsi="Arial" w:cs="Arial"/>
                <w:sz w:val="18"/>
                <w:szCs w:val="18"/>
              </w:rPr>
              <w:t>PASA (los dos casos rechazados)</w:t>
            </w:r>
          </w:p>
        </w:tc>
      </w:tr>
      <w:tr>
        <w:tc>
          <w:tcPr>
            <w:tcW w:w="11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PF-04</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Archivo vacío</w:t>
            </w:r>
          </w:p>
        </w:tc>
        <w:tc>
          <w:tcPr>
            <w:tcW w:w="3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Mensaje de error controlado</w:t>
            </w:r>
          </w:p>
        </w:tc>
        <w:tc>
          <w:tcPr>
            <w:tcW w:w="1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PASA</w:t>
            </w:r>
          </w:p>
        </w:tc>
      </w:tr>
      <w:tr>
        <w:tc>
          <w:tcPr>
            <w:tcW w:w="11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PF-05</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Archivo mayor a 50 MB</w:t>
            </w:r>
          </w:p>
        </w:tc>
        <w:tc>
          <w:tcPr>
            <w:tcW w:w="3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Rechazo controlado con mensaje</w:t>
            </w:r>
          </w:p>
        </w:tc>
        <w:tc>
          <w:tcPr>
            <w:tcW w:w="1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PASA</w:t>
            </w:r>
          </w:p>
        </w:tc>
      </w:tr>
      <w:tr>
        <w:tc>
          <w:tcPr>
            <w:tcW w:w="11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PF-06</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Determinismo</w:t>
            </w:r>
          </w:p>
        </w:tc>
        <w:tc>
          <w:tcPr>
            <w:tcW w:w="3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El mismo archivo produce el mismo resultado y la misma huella</w:t>
            </w:r>
          </w:p>
        </w:tc>
        <w:tc>
          <w:tcPr>
            <w:tcW w:w="1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PASA</w:t>
            </w:r>
          </w:p>
        </w:tc>
      </w:tr>
      <w:tr>
        <w:tc>
          <w:tcPr>
            <w:tcW w:w="11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PF-07</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Latencia de extremo a extremo (archivo de 5 MB)</w:t>
            </w:r>
          </w:p>
        </w:tc>
        <w:tc>
          <w:tcPr>
            <w:tcW w:w="3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Menor a 10 s</w:t>
            </w:r>
          </w:p>
        </w:tc>
        <w:tc>
          <w:tcPr>
            <w:tcW w:w="1700" w:type="dxa"/>
            <w:tcMar>
              <w:top w:w="60" w:type="dxa"/>
              <w:left w:w="100" w:type="dxa"/>
              <w:bottom w:w="60" w:type="dxa"/>
              <w:right w:w="100" w:type="dxa"/>
            </w:tcMar>
            <w:vAlign w:val="center"/>
          </w:tcPr>
          <w:p>
            <w:pPr>
              <w:spacing w:before="0" w:after="0"/>
              <w:jc w:val="left"/>
            </w:pPr>
            <w:r>
              <w:rPr>
                <w:rFonts w:ascii="Arial" w:hAnsi="Arial" w:cs="Arial"/>
                <w:sz w:val="18"/>
                <w:szCs w:val="18"/>
              </w:rPr>
              <w:t>PASA (2,64 s)</w:t>
            </w:r>
          </w:p>
        </w:tc>
      </w:tr>
      <w:tr>
        <w:tc>
          <w:tcPr>
            <w:tcW w:w="11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PF-08</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Coherencia con ejemplos etiquetados de EMBER2024</w:t>
            </w:r>
          </w:p>
        </w:tc>
        <w:tc>
          <w:tcPr>
            <w:tcW w:w="3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Al menos la mitad coincide con la etiqueta real (informativa)</w:t>
            </w:r>
          </w:p>
        </w:tc>
        <w:tc>
          <w:tcPr>
            <w:tcW w:w="1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PASA (5 de 6)</w:t>
            </w:r>
          </w:p>
        </w:tc>
      </w:tr>
      <w:tr>
        <w:tc>
          <w:tcPr>
            <w:tcW w:w="11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PF-09</w:t>
            </w:r>
          </w:p>
        </w:tc>
        <w:tc>
          <w:tcPr>
            <w:tcW w:w="33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Construcción de la interfaz Gradio</w:t>
            </w:r>
          </w:p>
        </w:tc>
        <w:tc>
          <w:tcPr>
            <w:tcW w:w="39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La interfaz se construye sin errores</w:t>
            </w:r>
          </w:p>
        </w:tc>
        <w:tc>
          <w:tcPr>
            <w:tcW w:w="17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PASA</w:t>
            </w:r>
          </w:p>
        </w:tc>
      </w:tr>
    </w:tbl>
    <w:p>
      <w:pPr>
        <w:spacing w:before="60" w:after="240"/>
        <w:jc w:val="left"/>
      </w:pPr>
      <w:r>
        <w:rPr>
          <w:rFonts w:ascii="Arial" w:hAnsi="Arial" w:cs="Arial"/>
          <w:i/>
          <w:iCs/>
          <w:sz w:val="18"/>
          <w:szCs w:val="18"/>
        </w:rPr>
        <w:t xml:space="preserve">Fuente: elaboración propia (notebook, Fase 4b: pruebas_funcionales.csv).</w:t>
      </w:r>
    </w:p>
    <w:p>
      <w:pPr>
        <w:pStyle w:val="Ttulo3"/>
      </w:pPr>
      <w:r>
        <w:t xml:space="preserve">Prueba exploratoria con archivos externos</w:t>
      </w:r>
    </w:p>
    <w:p w:rsidR="00AC2941" w:rsidRPr="00AC2941" w:rsidRDefault="00AC2941" w:rsidP="00AC2941">
      <w:pPr>
        <w:rPr>
          <w:rFonts w:eastAsia="Arial" w:cs="Arial"/>
          <w:color w:val="000000" w:themeColor="text1"/>
        </w:rPr>
      </w:pPr>
      <w:r>
        <w:t xml:space="preserve">Como complemento a las pruebas automatizadas, la aplicación se ejecutó en un computador personal con los artefactos generados en Google Colab (modelo, escalador, configuración de explicabilidad y diccionario) y se analizaron a ciegas cuatro archivos PE benignos ajenos a EMBER2024: dos ejecutables y una biblioteca reales del paquete pywin32 para Python (compilados con las herramientas de Microsoft y distribuidos sin firma Authenticode) y el ejecutable sintético mínimo de las pruebas funcionales. La Tabla 16 resume los resultados. El análisis se repitió con la versión final de la interfaz, la misma de la prueba de usabilidad, y dio las mismas probabilidades y los mismos aportes, porque el modelo y el extractor no cambiaron; la Figura 18 muestra en esa versión el análisis de la biblioteca y la Figura 19 el de uno de los ejecutables, con el panel de detalles técnicos abierto. El modelo clasificó correctamente la biblioteca (probabilidad de malware del 6,3 %, riesgo muy bajo) y produjo tres falsos positivos con los ejecutables (73,4 %, 73,4 % y 67,3 %, riesgo medio). Las explicaciones hacen legible la causa: en los tres casos el factor dominante fue la bandera DLL del encabezado (aporte +0,23: el archivo es un ejecutable y no una biblioteca), seguida de la ausencia de firma digital (+0,08 por el tiempo de firma y +0,06 por la profundidad de la cadena de certificados), mientras que la baja entropía del contenido y la ausencia de banderas sospechosas en las secciones restaron sospecha (−0,10 y −0,08) sin llegar a compensar; en la biblioteca, la misma bandera DLL (−0,36) y la presencia de funciones exportadas (−0,08) inclinaron la decisión hacia benigno. </w:t>
      </w:r>
      <w:r>
        <w:t xml:space="preserve">Los dos ejecutables reales tuvieron justo la misma probabilidad y los mismos aportes porque, como se comprobó con el extractor, tienen los mismos valores en las 15 características seleccionadas (se compilaron igual y no tienen firma, exportaciones ni overlay). Esto muestra el precio de reducir tanto las dimensiones: el modelo no tiene datos de importaciones, cadenas o secciones que le permitan diferenciar dos ejecutables sin firma. El resultado concuerda con la tasa de falsos positivos del 7,4 % medida en la prueba temporal y deja claro dónde se acumulan los errores: en ejecutables (no bibliotecas) sin firma Authenticode, algo común en software legítimo de código abierto o hecho dentro de las propias organizaciones</w:t>
      </w:r>
      <w:r>
        <w:t xml:space="preserve">. La observación refuerza la recomendación de ampliar el conjunto de características en la siguiente iteración y respalda el diseño de la interfaz, que ante un riesgo medio no sentencia el archivo sino que recomienda verificarlo con un segundo antivirus.</w:t>
      </w:r>
    </w:p>
    <w:p>
      <w:pPr>
        <w:pStyle w:val="Descripcin"/>
        <w:keepNext/>
      </w:pPr>
      <w:r>
        <w:rPr>
          <w:rFonts w:ascii="Arial" w:hAnsi="Arial" w:cs="Arial"/>
          <w:b/>
          <w:bCs/>
          <w:color w:val="000000"/>
          <w:sz w:val="20"/>
          <w:szCs w:val="20"/>
        </w:rPr>
        <w:t xml:space="preserve">Tabla 16. Prueba exploratoria a ciegas con archivos PE benignos externos a EMBER2024</w:t>
      </w:r>
    </w:p>
    <w:tbl>
      <w:tblPr>
        <w:tblStyle w:val="Tablaconcuadrcula"/>
        <w:tblW w:w="10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2900"/>
        <w:gridCol w:w="1200"/>
        <w:gridCol w:w="1300"/>
        <w:gridCol w:w="1300"/>
        <w:gridCol w:w="1000"/>
        <w:gridCol w:w="1300"/>
      </w:tblGrid>
      <w:tr>
        <w:trPr>
          <w:tblHeader/>
        </w:trPr>
        <w:tc>
          <w:tcPr>
            <w:tcW w:w="15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Archivo</w:t>
            </w:r>
          </w:p>
        </w:tc>
        <w:tc>
          <w:tcPr>
            <w:tcW w:w="29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Origen y tamaño</w:t>
            </w:r>
          </w:p>
        </w:tc>
        <w:tc>
          <w:tcPr>
            <w:tcW w:w="12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Naturaleza real</w:t>
            </w:r>
          </w:p>
        </w:tc>
        <w:tc>
          <w:tcPr>
            <w:tcW w:w="13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Veredicto</w:t>
            </w:r>
          </w:p>
        </w:tc>
        <w:tc>
          <w:tcPr>
            <w:tcW w:w="13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Probabilidad de malware</w:t>
            </w:r>
          </w:p>
        </w:tc>
        <w:tc>
          <w:tcPr>
            <w:tcW w:w="10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Nivel de riesgo</w:t>
            </w:r>
          </w:p>
        </w:tc>
        <w:tc>
          <w:tcPr>
            <w:tcW w:w="13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Resultado</w:t>
            </w:r>
          </w:p>
        </w:tc>
      </w:tr>
      <w:tr>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muestra_A.exe</w:t>
            </w:r>
          </w:p>
        </w:tc>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Pythonwin.exe (pywin32), 58.880 bytes, sin firma</w:t>
            </w:r>
          </w:p>
        </w:tc>
        <w:tc>
          <w:tcPr>
            <w:tcW w:w="1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Benigno</w:t>
            </w:r>
          </w:p>
        </w:tc>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MALICIOSO</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73,4 %</w:t>
            </w:r>
          </w:p>
        </w:tc>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Medio</w:t>
            </w:r>
          </w:p>
        </w:tc>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Falso positivo</w:t>
            </w:r>
          </w:p>
        </w:tc>
      </w:tr>
      <w:tr>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muestra_B.dll</w:t>
            </w:r>
          </w:p>
        </w:tc>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pythoncom311.dll (pywin32), 680.960 bytes, con exportaciones</w:t>
            </w:r>
          </w:p>
        </w:tc>
        <w:tc>
          <w:tcPr>
            <w:tcW w:w="1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Benigno</w:t>
            </w:r>
          </w:p>
        </w:tc>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BENIGNO</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6,3 %</w:t>
            </w:r>
          </w:p>
        </w:tc>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Muy bajo</w:t>
            </w:r>
          </w:p>
        </w:tc>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Acierto</w:t>
            </w:r>
          </w:p>
        </w:tc>
      </w:tr>
      <w:tr>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muestra_C.exe</w:t>
            </w:r>
          </w:p>
        </w:tc>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PE32 mínimo sintético, 2.048 bytes, sin código funcional</w:t>
            </w:r>
          </w:p>
        </w:tc>
        <w:tc>
          <w:tcPr>
            <w:tcW w:w="1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Benigno</w:t>
            </w:r>
          </w:p>
        </w:tc>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MALICIOSO</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67,3 %</w:t>
            </w:r>
          </w:p>
        </w:tc>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Medio</w:t>
            </w:r>
          </w:p>
        </w:tc>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Falso positivo</w:t>
            </w:r>
          </w:p>
        </w:tc>
      </w:tr>
      <w:tr>
        <w:tc>
          <w:tcPr>
            <w:tcW w:w="15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muestra_D.exe</w:t>
            </w:r>
          </w:p>
        </w:tc>
        <w:tc>
          <w:tcPr>
            <w:tcW w:w="29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pythonservice.exe (pywin32), 21.504 bytes, sin firma</w:t>
            </w:r>
          </w:p>
        </w:tc>
        <w:tc>
          <w:tcPr>
            <w:tcW w:w="12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Benigno</w:t>
            </w:r>
          </w:p>
        </w:tc>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MALICIOSO</w:t>
            </w:r>
          </w:p>
        </w:tc>
        <w:tc>
          <w:tcPr>
            <w:tcW w:w="1300" w:type="dxa"/>
            <w:tcMar>
              <w:top w:w="60" w:type="dxa"/>
              <w:left w:w="100" w:type="dxa"/>
              <w:bottom w:w="60" w:type="dxa"/>
              <w:right w:w="100" w:type="dxa"/>
            </w:tcMar>
            <w:vAlign w:val="center"/>
          </w:tcPr>
          <w:p>
            <w:pPr>
              <w:spacing w:before="0" w:after="0"/>
              <w:jc w:val="center"/>
            </w:pPr>
            <w:r>
              <w:rPr>
                <w:rFonts w:ascii="Arial" w:hAnsi="Arial" w:cs="Arial"/>
                <w:sz w:val="17"/>
                <w:szCs w:val="17"/>
              </w:rPr>
              <w:t xml:space="preserve">73,4 %</w:t>
            </w:r>
          </w:p>
        </w:tc>
        <w:tc>
          <w:tcPr>
            <w:tcW w:w="10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Medio</w:t>
            </w:r>
          </w:p>
        </w:tc>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Falso positivo</w:t>
            </w:r>
          </w:p>
        </w:tc>
      </w:tr>
    </w:tbl>
    <w:p>
      <w:pPr>
        <w:spacing w:before="60" w:after="240"/>
        <w:jc w:val="left"/>
      </w:pPr>
      <w:r>
        <w:rPr>
          <w:rFonts w:ascii="Arial" w:hAnsi="Arial" w:cs="Arial"/>
          <w:i/>
          <w:iCs/>
          <w:sz w:val="18"/>
          <w:szCs w:val="18"/>
        </w:rPr>
        <w:t>Fuente: elaboración propia (aplicación ejecutada en un computador personal; identidad de cada archivo verificada por SHA-256; resultados repetidos con la versión final de la interfaz).</w:t>
      </w:r>
    </w:p>
    <w:p>
      <w:pPr>
        <w:pStyle w:val="Descripcin"/>
        <w:keepNext/>
      </w:pPr>
      <w:r>
        <w:rPr>
          <w:rFonts w:ascii="Arial" w:hAnsi="Arial" w:cs="Arial"/>
          <w:b/>
          <w:bCs/>
          <w:color w:val="000000"/>
          <w:sz w:val="20"/>
          <w:szCs w:val="20"/>
        </w:rPr>
        <w:t>Figura 19. Interfaz web con un falso positivo: ejecutable legítimo sin firma (Pythonwin.exe) clasificado como malicioso, con la explicación de los factores que motivaron la decisión y el panel de detalles técnicos</w:t>
      </w:r>
    </w:p>
    <w:p>
      <w:pPr>
        <w:keepNext/>
        <w:jc w:val="center"/>
      </w:pPr>
      <w:r>
        <w:drawing>
          <wp:inline xmlns:a="http://schemas.openxmlformats.org/drawingml/2006/main" xmlns:pic="http://schemas.openxmlformats.org/drawingml/2006/picture">
            <wp:extent cx="5580000" cy="5881802"/>
            <wp:docPr id="1925695372" name="Picture 1925695372"/>
            <wp:cNvGraphicFramePr>
              <a:graphicFrameLocks noChangeAspect="1"/>
            </wp:cNvGraphicFramePr>
            <a:graphic>
              <a:graphicData uri="http://schemas.openxmlformats.org/drawingml/2006/picture">
                <pic:pic>
                  <pic:nvPicPr>
                    <pic:cNvPr id="0" name="fig_interfaz_falso_positivo.png"/>
                    <pic:cNvPicPr/>
                  </pic:nvPicPr>
                  <pic:blipFill>
                    <a:blip r:embed="rId37"/>
                    <a:stretch>
                      <a:fillRect/>
                    </a:stretch>
                  </pic:blipFill>
                  <pic:spPr>
                    <a:xfrm>
                      <a:off x="0" y="0"/>
                      <a:ext cx="5580000" cy="5881802"/>
                    </a:xfrm>
                    <a:prstGeom prst="rect"/>
                  </pic:spPr>
                </pic:pic>
              </a:graphicData>
            </a:graphic>
          </wp:inline>
        </w:drawing>
      </w:r>
    </w:p>
    <w:p>
      <w:pPr>
        <w:spacing w:before="60" w:after="240"/>
        <w:jc w:val="left"/>
      </w:pPr>
      <w:r>
        <w:rPr>
          <w:rFonts w:ascii="Arial" w:hAnsi="Arial" w:cs="Arial"/>
          <w:i/>
          <w:iCs/>
          <w:sz w:val="18"/>
          <w:szCs w:val="18"/>
        </w:rPr>
        <w:t>Fuente: elaboración propia (captura de pantalla de la versión final de la aplicación).</w:t>
      </w:r>
    </w:p>
    <w:p>
      <w:pPr>
        <w:pStyle w:val="Ttulo3"/>
      </w:pPr>
      <w:r>
        <w:t xml:space="preserve">Pruebas de rendimiento</w:t>
      </w:r>
    </w:p>
    <w:p w:rsidR="00AC2941" w:rsidRPr="00AC2941" w:rsidRDefault="00AC2941" w:rsidP="00AC2941">
      <w:pPr>
        <w:rPr>
          <w:rFonts w:eastAsia="Arial" w:cs="Arial"/>
          <w:color w:val="000000" w:themeColor="text1"/>
        </w:rPr>
      </w:pPr>
      <w:r>
        <w:rPr/>
        <w:t>La latencia de extremo a extremo (extracción de características, predicción y explicación) se midió para archivos de 0,1, 1, 5 y 20 MB con 20 repeticiones cada uno en el entorno de Google Colab (CPU). La Tabla 17 y la Figura 20 muestran la mediana y el percentil 95 de cada tamaño y el desglose entre extracción y predicción. La extracción de características domina la latencia y crece de forma aproximadamente lineal con el tamaño del archivo (cerca de 0,5 s por MB: 0,05 s para 0,1 MB, 0,52 s para 1 MB, 2,5 s para 5 MB y 11,1 s para 20 MB), porque el extractor recorre todo el contenido para calcular el histograma de bytes, el histograma byte-entropía y la búsqueda de cadenas; la predicción y la explicación SHAP, en cambio, toman unos 14 ms constantes, de modo que el modelo y la capa de explicabilidad no inciden en el tiempo de respuesta. La meta de 10 s se cumplió para los archivos de 0,1, 1 y 5 MB (percentil 95 de 0,07, 0,88 y 3,48 s), pero no para los de 20 MB, cuyo percentil 95 fue de 11,40 s (mediana de 11,1 s y máximo de 14,1 s). Estos tiempos dependen del entorno de ejecución (la máquina que asigna Colab y las versiones de las bibliotecas): en una corrida anterior del mismo notebook, el percentil 95 para 20 MB había sido de 20,95 s, de modo que la conclusión no cambia. En la interfaz el usuario ve un indicador de procesamiento durante el análisis, y como mejora se identifica la optimización del extractor (por ejemplo, vectorizando el cálculo de la entropía por ventanas), que es una dependencia externa al proyecto.</w:t>
      </w:r>
    </w:p>
    <w:p>
      <w:pPr>
        <w:pStyle w:val="Descripcin"/>
        <w:keepNext/>
      </w:pPr>
      <w:r>
        <w:rPr>
          <w:rFonts w:ascii="Arial" w:hAnsi="Arial" w:cs="Arial"/>
          <w:b/>
          <w:bCs/>
          <w:color w:val="000000"/>
          <w:sz w:val="20"/>
          <w:szCs w:val="20"/>
        </w:rPr>
        <w:t xml:space="preserve">Tabla 17. Latencia de análisis por tamaño de archivo (20 repeticiones, Google Colab CPU)</w:t>
      </w:r>
    </w:p>
    <w:tbl>
      <w:tblPr>
        <w:tblStyle w:val="Tablaconcuadrcula"/>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00"/>
        <w:gridCol w:w="1900"/>
        <w:gridCol w:w="2300"/>
        <w:gridCol w:w="1600"/>
        <w:gridCol w:w="1500"/>
        <w:gridCol w:w="1400"/>
      </w:tblGrid>
      <w:tr>
        <w:trPr>
          <w:tblHeader/>
        </w:trPr>
        <w:tc>
          <w:tcPr>
            <w:tcW w:w="13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Tamaño</w:t>
            </w:r>
          </w:p>
        </w:tc>
        <w:tc>
          <w:tcPr>
            <w:tcW w:w="19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Extracción (ms, mediana)</w:t>
            </w:r>
          </w:p>
        </w:tc>
        <w:tc>
          <w:tcPr>
            <w:tcW w:w="23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Predicción + explicación (ms, mediana)</w:t>
            </w:r>
          </w:p>
        </w:tc>
        <w:tc>
          <w:tcPr>
            <w:tcW w:w="16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Total (ms, mediana)</w:t>
            </w:r>
          </w:p>
        </w:tc>
        <w:tc>
          <w:tcPr>
            <w:tcW w:w="15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Total (ms, p95)</w:t>
            </w:r>
          </w:p>
        </w:tc>
        <w:tc>
          <w:tcPr>
            <w:tcW w:w="1400" w:type="dxa"/>
            <w:tcMar>
              <w:top w:w="60" w:type="dxa"/>
              <w:left w:w="100" w:type="dxa"/>
              <w:bottom w:w="60" w:type="dxa"/>
              <w:right w:w="100" w:type="dxa"/>
            </w:tcMar>
            <w:vAlign w:val="center"/>
          </w:tcPr>
          <w:p>
            <w:pPr>
              <w:spacing w:before="0" w:after="0"/>
              <w:jc w:val="center"/>
            </w:pPr>
            <w:r>
              <w:rPr>
                <w:rFonts w:ascii="Arial" w:hAnsi="Arial" w:cs="Arial"/>
                <w:b/>
                <w:bCs/>
                <w:sz w:val="17"/>
                <w:szCs w:val="17"/>
              </w:rPr>
              <w:t xml:space="preserve">Cumple meta (&lt; 10 s)</w:t>
            </w:r>
          </w:p>
        </w:tc>
      </w:tr>
      <w:tr>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0,1 MB</w:t>
            </w:r>
          </w:p>
        </w:tc>
        <w:tc>
          <w:tcPr>
            <w:tcW w:w="1900" w:type="dxa"/>
            <w:tcMar>
              <w:top w:w="60" w:type="dxa"/>
              <w:left w:w="100" w:type="dxa"/>
              <w:bottom w:w="60" w:type="dxa"/>
              <w:right w:w="100" w:type="dxa"/>
            </w:tcMar>
            <w:vAlign w:val="center"/>
          </w:tcPr>
          <w:p>
            <w:pPr>
              <w:spacing w:before="0" w:after="0"/>
              <w:jc w:val="center"/>
            </w:pPr>
            <w:r>
              <w:rPr>
                <w:rFonts w:ascii="Arial" w:hAnsi="Arial" w:cs="Arial"/>
                <w:sz w:val="17"/>
                <w:szCs w:val="17"/>
              </w:rPr>
              <w:t>49,3</w:t>
            </w:r>
          </w:p>
        </w:tc>
        <w:tc>
          <w:tcPr>
            <w:tcW w:w="2300" w:type="dxa"/>
            <w:tcMar>
              <w:top w:w="60" w:type="dxa"/>
              <w:left w:w="100" w:type="dxa"/>
              <w:bottom w:w="60" w:type="dxa"/>
              <w:right w:w="100" w:type="dxa"/>
            </w:tcMar>
            <w:vAlign w:val="center"/>
          </w:tcPr>
          <w:p>
            <w:pPr>
              <w:spacing w:before="0" w:after="0"/>
              <w:jc w:val="center"/>
            </w:pPr>
            <w:r>
              <w:rPr>
                <w:rFonts w:ascii="Arial" w:hAnsi="Arial" w:cs="Arial"/>
                <w:sz w:val="17"/>
                <w:szCs w:val="17"/>
              </w:rPr>
              <w:t>14,2</w:t>
            </w:r>
          </w:p>
        </w:tc>
        <w:tc>
          <w:tcPr>
            <w:tcW w:w="1600" w:type="dxa"/>
            <w:tcMar>
              <w:top w:w="60" w:type="dxa"/>
              <w:left w:w="100" w:type="dxa"/>
              <w:bottom w:w="60" w:type="dxa"/>
              <w:right w:w="100" w:type="dxa"/>
            </w:tcMar>
            <w:vAlign w:val="center"/>
          </w:tcPr>
          <w:p>
            <w:pPr>
              <w:spacing w:before="0" w:after="0"/>
              <w:jc w:val="center"/>
            </w:pPr>
            <w:r>
              <w:rPr>
                <w:rFonts w:ascii="Arial" w:hAnsi="Arial" w:cs="Arial"/>
                <w:sz w:val="17"/>
                <w:szCs w:val="17"/>
              </w:rPr>
              <w:t>63,4</w:t>
            </w:r>
          </w:p>
        </w:tc>
        <w:tc>
          <w:tcPr>
            <w:tcW w:w="1500" w:type="dxa"/>
            <w:tcMar>
              <w:top w:w="60" w:type="dxa"/>
              <w:left w:w="100" w:type="dxa"/>
              <w:bottom w:w="60" w:type="dxa"/>
              <w:right w:w="100" w:type="dxa"/>
            </w:tcMar>
            <w:vAlign w:val="center"/>
          </w:tcPr>
          <w:p>
            <w:pPr>
              <w:spacing w:before="0" w:after="0"/>
              <w:jc w:val="center"/>
            </w:pPr>
            <w:r>
              <w:rPr>
                <w:rFonts w:ascii="Arial" w:hAnsi="Arial" w:cs="Arial"/>
                <w:sz w:val="17"/>
                <w:szCs w:val="17"/>
              </w:rPr>
              <w:t>69,7</w:t>
            </w:r>
          </w:p>
        </w:tc>
        <w:tc>
          <w:tcPr>
            <w:tcW w:w="1400" w:type="dxa"/>
            <w:tcMar>
              <w:top w:w="60" w:type="dxa"/>
              <w:left w:w="100" w:type="dxa"/>
              <w:bottom w:w="60" w:type="dxa"/>
              <w:right w:w="100" w:type="dxa"/>
            </w:tcMar>
            <w:vAlign w:val="center"/>
          </w:tcPr>
          <w:p>
            <w:pPr>
              <w:spacing w:before="0" w:after="0"/>
              <w:jc w:val="left"/>
            </w:pPr>
            <w:r>
              <w:rPr>
                <w:rFonts w:ascii="Arial" w:hAnsi="Arial" w:cs="Arial"/>
                <w:sz w:val="17"/>
                <w:szCs w:val="17"/>
              </w:rPr>
              <w:t>Sí</w:t>
            </w:r>
          </w:p>
        </w:tc>
      </w:tr>
      <w:tr>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1 MB</w:t>
            </w:r>
          </w:p>
        </w:tc>
        <w:tc>
          <w:tcPr>
            <w:tcW w:w="1900" w:type="dxa"/>
            <w:tcMar>
              <w:top w:w="60" w:type="dxa"/>
              <w:left w:w="100" w:type="dxa"/>
              <w:bottom w:w="60" w:type="dxa"/>
              <w:right w:w="100" w:type="dxa"/>
            </w:tcMar>
            <w:vAlign w:val="center"/>
          </w:tcPr>
          <w:p>
            <w:pPr>
              <w:spacing w:before="0" w:after="0"/>
              <w:jc w:val="center"/>
            </w:pPr>
            <w:r>
              <w:rPr>
                <w:rFonts w:ascii="Arial" w:hAnsi="Arial" w:cs="Arial"/>
                <w:sz w:val="17"/>
                <w:szCs w:val="17"/>
              </w:rPr>
              <w:t>516,2</w:t>
            </w:r>
          </w:p>
        </w:tc>
        <w:tc>
          <w:tcPr>
            <w:tcW w:w="2300" w:type="dxa"/>
            <w:tcMar>
              <w:top w:w="60" w:type="dxa"/>
              <w:left w:w="100" w:type="dxa"/>
              <w:bottom w:w="60" w:type="dxa"/>
              <w:right w:w="100" w:type="dxa"/>
            </w:tcMar>
            <w:vAlign w:val="center"/>
          </w:tcPr>
          <w:p>
            <w:pPr>
              <w:spacing w:before="0" w:after="0"/>
              <w:jc w:val="center"/>
            </w:pPr>
            <w:r>
              <w:rPr>
                <w:rFonts w:ascii="Arial" w:hAnsi="Arial" w:cs="Arial"/>
                <w:sz w:val="17"/>
                <w:szCs w:val="17"/>
              </w:rPr>
              <w:t>14,3</w:t>
            </w:r>
          </w:p>
        </w:tc>
        <w:tc>
          <w:tcPr>
            <w:tcW w:w="1600" w:type="dxa"/>
            <w:tcMar>
              <w:top w:w="60" w:type="dxa"/>
              <w:left w:w="100" w:type="dxa"/>
              <w:bottom w:w="60" w:type="dxa"/>
              <w:right w:w="100" w:type="dxa"/>
            </w:tcMar>
            <w:vAlign w:val="center"/>
          </w:tcPr>
          <w:p>
            <w:pPr>
              <w:spacing w:before="0" w:after="0"/>
              <w:jc w:val="center"/>
            </w:pPr>
            <w:r>
              <w:rPr>
                <w:rFonts w:ascii="Arial" w:hAnsi="Arial" w:cs="Arial"/>
                <w:sz w:val="17"/>
                <w:szCs w:val="17"/>
              </w:rPr>
              <w:t>530,9</w:t>
            </w:r>
          </w:p>
        </w:tc>
        <w:tc>
          <w:tcPr>
            <w:tcW w:w="1500" w:type="dxa"/>
            <w:tcMar>
              <w:top w:w="60" w:type="dxa"/>
              <w:left w:w="100" w:type="dxa"/>
              <w:bottom w:w="60" w:type="dxa"/>
              <w:right w:w="100" w:type="dxa"/>
            </w:tcMar>
            <w:vAlign w:val="center"/>
          </w:tcPr>
          <w:p>
            <w:pPr>
              <w:spacing w:before="0" w:after="0"/>
              <w:jc w:val="center"/>
            </w:pPr>
            <w:r>
              <w:rPr>
                <w:rFonts w:ascii="Arial" w:hAnsi="Arial" w:cs="Arial"/>
                <w:sz w:val="17"/>
                <w:szCs w:val="17"/>
              </w:rPr>
              <w:t>882,8</w:t>
            </w:r>
          </w:p>
        </w:tc>
        <w:tc>
          <w:tcPr>
            <w:tcW w:w="1400" w:type="dxa"/>
            <w:tcMar>
              <w:top w:w="60" w:type="dxa"/>
              <w:left w:w="100" w:type="dxa"/>
              <w:bottom w:w="60" w:type="dxa"/>
              <w:right w:w="100" w:type="dxa"/>
            </w:tcMar>
            <w:vAlign w:val="center"/>
          </w:tcPr>
          <w:p>
            <w:pPr>
              <w:spacing w:before="0" w:after="0"/>
              <w:jc w:val="left"/>
            </w:pPr>
            <w:r>
              <w:rPr>
                <w:rFonts w:ascii="Arial" w:hAnsi="Arial" w:cs="Arial"/>
                <w:sz w:val="17"/>
                <w:szCs w:val="17"/>
              </w:rPr>
              <w:t>Sí</w:t>
            </w:r>
          </w:p>
        </w:tc>
      </w:tr>
      <w:tr>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5 MB</w:t>
            </w:r>
          </w:p>
        </w:tc>
        <w:tc>
          <w:tcPr>
            <w:tcW w:w="1900" w:type="dxa"/>
            <w:tcMar>
              <w:top w:w="60" w:type="dxa"/>
              <w:left w:w="100" w:type="dxa"/>
              <w:bottom w:w="60" w:type="dxa"/>
              <w:right w:w="100" w:type="dxa"/>
            </w:tcMar>
            <w:vAlign w:val="center"/>
          </w:tcPr>
          <w:p>
            <w:pPr>
              <w:spacing w:before="0" w:after="0"/>
              <w:jc w:val="center"/>
            </w:pPr>
            <w:r>
              <w:rPr>
                <w:rFonts w:ascii="Arial" w:hAnsi="Arial" w:cs="Arial"/>
                <w:sz w:val="17"/>
                <w:szCs w:val="17"/>
              </w:rPr>
              <w:t>2.535,6</w:t>
            </w:r>
          </w:p>
        </w:tc>
        <w:tc>
          <w:tcPr>
            <w:tcW w:w="2300" w:type="dxa"/>
            <w:tcMar>
              <w:top w:w="60" w:type="dxa"/>
              <w:left w:w="100" w:type="dxa"/>
              <w:bottom w:w="60" w:type="dxa"/>
              <w:right w:w="100" w:type="dxa"/>
            </w:tcMar>
            <w:vAlign w:val="center"/>
          </w:tcPr>
          <w:p>
            <w:pPr>
              <w:spacing w:before="0" w:after="0"/>
              <w:jc w:val="center"/>
            </w:pPr>
            <w:r>
              <w:rPr>
                <w:rFonts w:ascii="Arial" w:hAnsi="Arial" w:cs="Arial"/>
                <w:sz w:val="17"/>
                <w:szCs w:val="17"/>
              </w:rPr>
              <w:t>14,0</w:t>
            </w:r>
          </w:p>
        </w:tc>
        <w:tc>
          <w:tcPr>
            <w:tcW w:w="1600" w:type="dxa"/>
            <w:tcMar>
              <w:top w:w="60" w:type="dxa"/>
              <w:left w:w="100" w:type="dxa"/>
              <w:bottom w:w="60" w:type="dxa"/>
              <w:right w:w="100" w:type="dxa"/>
            </w:tcMar>
            <w:vAlign w:val="center"/>
          </w:tcPr>
          <w:p>
            <w:pPr>
              <w:spacing w:before="0" w:after="0"/>
              <w:jc w:val="center"/>
            </w:pPr>
            <w:r>
              <w:rPr>
                <w:rFonts w:ascii="Arial" w:hAnsi="Arial" w:cs="Arial"/>
                <w:sz w:val="17"/>
                <w:szCs w:val="17"/>
              </w:rPr>
              <w:t>2.549,5</w:t>
            </w:r>
          </w:p>
        </w:tc>
        <w:tc>
          <w:tcPr>
            <w:tcW w:w="1500" w:type="dxa"/>
            <w:tcMar>
              <w:top w:w="60" w:type="dxa"/>
              <w:left w:w="100" w:type="dxa"/>
              <w:bottom w:w="60" w:type="dxa"/>
              <w:right w:w="100" w:type="dxa"/>
            </w:tcMar>
            <w:vAlign w:val="center"/>
          </w:tcPr>
          <w:p>
            <w:pPr>
              <w:spacing w:before="0" w:after="0"/>
              <w:jc w:val="center"/>
            </w:pPr>
            <w:r>
              <w:rPr>
                <w:rFonts w:ascii="Arial" w:hAnsi="Arial" w:cs="Arial"/>
                <w:sz w:val="17"/>
                <w:szCs w:val="17"/>
              </w:rPr>
              <w:t>3.482,3</w:t>
            </w:r>
          </w:p>
        </w:tc>
        <w:tc>
          <w:tcPr>
            <w:tcW w:w="1400" w:type="dxa"/>
            <w:tcMar>
              <w:top w:w="60" w:type="dxa"/>
              <w:left w:w="100" w:type="dxa"/>
              <w:bottom w:w="60" w:type="dxa"/>
              <w:right w:w="100" w:type="dxa"/>
            </w:tcMar>
            <w:vAlign w:val="center"/>
          </w:tcPr>
          <w:p>
            <w:pPr>
              <w:spacing w:before="0" w:after="0"/>
              <w:jc w:val="left"/>
            </w:pPr>
            <w:r>
              <w:rPr>
                <w:rFonts w:ascii="Arial" w:hAnsi="Arial" w:cs="Arial"/>
                <w:sz w:val="17"/>
                <w:szCs w:val="17"/>
              </w:rPr>
              <w:t>Sí</w:t>
            </w:r>
          </w:p>
        </w:tc>
      </w:tr>
      <w:tr>
        <w:tc>
          <w:tcPr>
            <w:tcW w:w="1300" w:type="dxa"/>
            <w:tcMar>
              <w:top w:w="60" w:type="dxa"/>
              <w:left w:w="100" w:type="dxa"/>
              <w:bottom w:w="60" w:type="dxa"/>
              <w:right w:w="100" w:type="dxa"/>
            </w:tcMar>
            <w:vAlign w:val="center"/>
          </w:tcPr>
          <w:p>
            <w:pPr>
              <w:spacing w:before="0" w:after="0"/>
              <w:jc w:val="left"/>
            </w:pPr>
            <w:r>
              <w:rPr>
                <w:rFonts w:ascii="Arial" w:hAnsi="Arial" w:cs="Arial"/>
                <w:sz w:val="17"/>
                <w:szCs w:val="17"/>
              </w:rPr>
              <w:t xml:space="preserve">20 MB</w:t>
            </w:r>
          </w:p>
        </w:tc>
        <w:tc>
          <w:tcPr>
            <w:tcW w:w="1900" w:type="dxa"/>
            <w:tcMar>
              <w:top w:w="60" w:type="dxa"/>
              <w:left w:w="100" w:type="dxa"/>
              <w:bottom w:w="60" w:type="dxa"/>
              <w:right w:w="100" w:type="dxa"/>
            </w:tcMar>
            <w:vAlign w:val="center"/>
          </w:tcPr>
          <w:p>
            <w:pPr>
              <w:spacing w:before="0" w:after="0"/>
              <w:jc w:val="center"/>
            </w:pPr>
            <w:r>
              <w:rPr>
                <w:rFonts w:ascii="Arial" w:hAnsi="Arial" w:cs="Arial"/>
                <w:sz w:val="17"/>
                <w:szCs w:val="17"/>
              </w:rPr>
              <w:t>11.121,6</w:t>
            </w:r>
          </w:p>
        </w:tc>
        <w:tc>
          <w:tcPr>
            <w:tcW w:w="2300" w:type="dxa"/>
            <w:tcMar>
              <w:top w:w="60" w:type="dxa"/>
              <w:left w:w="100" w:type="dxa"/>
              <w:bottom w:w="60" w:type="dxa"/>
              <w:right w:w="100" w:type="dxa"/>
            </w:tcMar>
            <w:vAlign w:val="center"/>
          </w:tcPr>
          <w:p>
            <w:pPr>
              <w:spacing w:before="0" w:after="0"/>
              <w:jc w:val="center"/>
            </w:pPr>
            <w:r>
              <w:rPr>
                <w:rFonts w:ascii="Arial" w:hAnsi="Arial" w:cs="Arial"/>
                <w:sz w:val="17"/>
                <w:szCs w:val="17"/>
              </w:rPr>
              <w:t>14,0</w:t>
            </w:r>
          </w:p>
        </w:tc>
        <w:tc>
          <w:tcPr>
            <w:tcW w:w="1600" w:type="dxa"/>
            <w:tcMar>
              <w:top w:w="60" w:type="dxa"/>
              <w:left w:w="100" w:type="dxa"/>
              <w:bottom w:w="60" w:type="dxa"/>
              <w:right w:w="100" w:type="dxa"/>
            </w:tcMar>
            <w:vAlign w:val="center"/>
          </w:tcPr>
          <w:p>
            <w:pPr>
              <w:spacing w:before="0" w:after="0"/>
              <w:jc w:val="center"/>
            </w:pPr>
            <w:r>
              <w:rPr>
                <w:rFonts w:ascii="Arial" w:hAnsi="Arial" w:cs="Arial"/>
                <w:sz w:val="17"/>
                <w:szCs w:val="17"/>
              </w:rPr>
              <w:t>11.135,3</w:t>
            </w:r>
          </w:p>
        </w:tc>
        <w:tc>
          <w:tcPr>
            <w:tcW w:w="1500" w:type="dxa"/>
            <w:tcMar>
              <w:top w:w="60" w:type="dxa"/>
              <w:left w:w="100" w:type="dxa"/>
              <w:bottom w:w="60" w:type="dxa"/>
              <w:right w:w="100" w:type="dxa"/>
            </w:tcMar>
            <w:vAlign w:val="center"/>
          </w:tcPr>
          <w:p>
            <w:pPr>
              <w:spacing w:before="0" w:after="0"/>
              <w:jc w:val="center"/>
            </w:pPr>
            <w:r>
              <w:rPr>
                <w:rFonts w:ascii="Arial" w:hAnsi="Arial" w:cs="Arial"/>
                <w:sz w:val="17"/>
                <w:szCs w:val="17"/>
              </w:rPr>
              <w:t>11.404,6</w:t>
            </w:r>
          </w:p>
        </w:tc>
        <w:tc>
          <w:tcPr>
            <w:tcW w:w="1400" w:type="dxa"/>
            <w:tcMar>
              <w:top w:w="60" w:type="dxa"/>
              <w:left w:w="100" w:type="dxa"/>
              <w:bottom w:w="60" w:type="dxa"/>
              <w:right w:w="100" w:type="dxa"/>
            </w:tcMar>
            <w:vAlign w:val="center"/>
          </w:tcPr>
          <w:p>
            <w:pPr>
              <w:spacing w:before="0" w:after="0"/>
              <w:jc w:val="left"/>
            </w:pPr>
            <w:r>
              <w:rPr>
                <w:rFonts w:ascii="Arial" w:hAnsi="Arial" w:cs="Arial"/>
                <w:sz w:val="17"/>
                <w:szCs w:val="17"/>
              </w:rPr>
              <w:t>No</w:t>
            </w:r>
          </w:p>
        </w:tc>
      </w:tr>
    </w:tbl>
    <w:p>
      <w:pPr>
        <w:spacing w:before="60" w:after="240"/>
        <w:jc w:val="left"/>
      </w:pPr>
      <w:r>
        <w:rPr>
          <w:rFonts w:ascii="Arial" w:hAnsi="Arial" w:cs="Arial"/>
          <w:i/>
          <w:iCs/>
          <w:sz w:val="18"/>
          <w:szCs w:val="18"/>
        </w:rPr>
        <w:t xml:space="preserve">Fuente: elaboración propia (notebook, Fase 4b: pruebas_rendimiento.csv).</w:t>
      </w:r>
    </w:p>
    <w:p>
      <w:pPr>
        <w:pStyle w:val="Descripcin"/>
        <w:keepNext/>
      </w:pPr>
      <w:r>
        <w:rPr>
          <w:rFonts w:ascii="Arial" w:hAnsi="Arial" w:cs="Arial"/>
          <w:b/>
          <w:bCs/>
          <w:color w:val="000000"/>
          <w:sz w:val="20"/>
          <w:szCs w:val="20"/>
        </w:rPr>
        <w:t xml:space="preserve">Figura 20. Latencia de análisis de extremo a extremo por tamaño de archivo</w:t>
      </w:r>
    </w:p>
    <w:p>
      <w:pPr>
        <w:keepNext/>
        <w:jc w:val="center"/>
      </w:pPr>
      <w:r>
        <w:drawing>
          <wp:inline xmlns:a="http://schemas.openxmlformats.org/drawingml/2006/main" xmlns:pic="http://schemas.openxmlformats.org/drawingml/2006/picture">
            <wp:extent cx="5040000" cy="2852487"/>
            <wp:docPr id="1925695373" name="Picture 1925695373"/>
            <wp:cNvGraphicFramePr>
              <a:graphicFrameLocks noChangeAspect="1"/>
            </wp:cNvGraphicFramePr>
            <a:graphic>
              <a:graphicData uri="http://schemas.openxmlformats.org/drawingml/2006/picture">
                <pic:pic>
                  <pic:nvPicPr>
                    <pic:cNvPr id="0" name="fig_latencia_por_tamano.png"/>
                    <pic:cNvPicPr/>
                  </pic:nvPicPr>
                  <pic:blipFill>
                    <a:blip r:embed="rId38"/>
                    <a:stretch>
                      <a:fillRect/>
                    </a:stretch>
                  </pic:blipFill>
                  <pic:spPr>
                    <a:xfrm>
                      <a:off x="0" y="0"/>
                      <a:ext cx="5040000" cy="2852487"/>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4b).</w:t>
      </w:r>
    </w:p>
    <w:p>
      <w:pPr>
        <w:pStyle w:val="Ttulo3"/>
      </w:pPr>
      <w:r>
        <w:t xml:space="preserve">Pruebas de usabilidad (SUS)</w:t>
      </w:r>
    </w:p>
    <w:p w:rsidR="00AC2941" w:rsidRPr="00AC2941" w:rsidRDefault="00AC2941" w:rsidP="00AC2941">
      <w:pPr>
        <w:rPr>
          <w:rFonts w:eastAsia="Arial" w:cs="Arial"/>
          <w:color w:val="000000" w:themeColor="text1"/>
        </w:rPr>
      </w:pPr>
      <w:r>
        <w:rPr/>
        <w:t>La usabilidad se evaluó con la escala SUS [3], un cuestionario de diez afirmaciones calificadas de 1 (totalmente en desacuerdo) a 5 (totalmente de acuerdo) cuyo puntaje agregado va de 0 a 100; un puntaje de 68 corresponde al promedio de referencia y valores superiores a 70 se consideran buenos [58]. Se aplicó la versión de ítems positivos [59] con el formato F-SUS-02, que incluye un consentimiento informado, el perfil del participante, las diez afirmaciones (D1 a D10), una pregunta sobre si la persona entendió por qué el sistema clasificó el archivo y, para quienes tienen formación técnica, tres afirmaciones sobre la pertinencia de las explicaciones. Participaron 10 personas, entre el 17 y el 27 de octubre de 2026 y de forma presencial: cinco estudiantes de Ingeniería de Sistemas y Computación (E1 a E5) y cinco personas sin formación técnica (P1 a P5), de 21 a 59 años. Cada participante usó la aplicación desplegada en Google Colab con el modelo seleccionado, analizó un archivo de la carpeta de prueba o uno propio y un ejemplo de EMBER2024, y luego respondió el cuestionario; el facilitador registró si cada tarea se completó sin ayuda y cuánto tiempo tomó. El tamaño de la muestra sigue la evidencia de Tullis y Stetson [89], según la cual con 10 a 12 participantes el SUS llega en la mayoría de los casos a la misma conclusión que una muestra mucho mayor. El notebook calcula el puntaje por participante, el promedio con su intervalo de confianza del 95 % (t de Student, por el tamaño de la muestra), la comparación entre perfiles (t de Welch) y la calificación en la escala de adjetivos, sin simular ninguna respuesta; la Tabla 18 y la Figura 21 resumen los resultados.</w:t>
      </w:r>
      <w:r>
        <w:rPr/>
      </w:r>
      <w:r>
        <w:rPr/>
      </w:r>
      <w:r>
        <w:rPr/>
      </w:r>
    </w:p>
    <w:p w:rsidR="00AC2941" w:rsidRPr="00AC2941" w:rsidRDefault="00AC2941" w:rsidP="00AC2941">
      <w:pPr>
        <w:rPr>
          <w:rFonts w:eastAsia="Arial" w:cs="Arial"/>
          <w:color w:val="000000" w:themeColor="text1"/>
        </w:rPr>
      </w:pPr>
      <w:r>
        <w:rPr/>
        <w:t>El puntaje SUS promedio fue de 86,0 (IC 95 %: 82,6 a 89,4; desviación estándar de 4,7), que en la escala de adjetivos corresponde a “Excelente” [58]. La meta de 70 se supera incluso con el límite inferior del intervalo, y ningún participante quedó por debajo de ella (el puntaje más bajo fue 77,5). Las personas con formación técnica dieron en promedio 87,5 y las que no la tienen 84,5; la diferencia de 3 puntos no es significativa (t de Welch, p = 0,35), pero con cinco personas por grupo la prueba tiene poca potencia, así que lo correcto es decir que no se encontró una diferencia, no que los dos grupos opinen igual. Por afirmación (Figura 21), las mejor calificadas fueron D3 (fácil de usar) y D7 (se aprende rápido), con 4,7, y las más bajas D10 (sin tener que aprender nada nuevo), con 4,0, y D1 (usarlo con frecuencia), con 4,3; las mayores diferencias entre perfiles estuvieron en D4 (usarlo sin la ayuda de una persona técnica), con 4,8 frente a 4,2, y en D7, con 5,0 frente a 4,4. Nueve participantes respondieron que entendieron por qué el sistema clasificó el archivo y uno, sin formación técnica, que lo entendió parcialmente. Al contarlo con sus palabras, los cinco técnicos y dos de los no técnicos nombraron factores concretos (firma digital, biblioteca DLL, exportaciones, entropía, banderas de sección, protecciones ASLR y DEP, reubicaciones), y los otros tres describieron bien el veredicto y la recomendación sin nombrar un factor. Una persona sin formación técnica agregó que el archivo “venía de una fuente conocida”, algo que el sistema no evalúa; la explicación debería aclarar que solo se revisa la estructura del archivo.</w:t>
      </w:r>
      <w:r>
        <w:rPr/>
      </w:r>
      <w:r>
        <w:rPr/>
      </w:r>
      <w:r>
        <w:rPr/>
      </w:r>
    </w:p>
    <w:p w:rsidR="00AC2941" w:rsidRPr="00AC2941" w:rsidRDefault="00AC2941" w:rsidP="00AC2941">
      <w:pPr>
        <w:rPr>
          <w:rFonts w:eastAsia="Arial" w:cs="Arial"/>
          <w:color w:val="000000" w:themeColor="text1"/>
        </w:rPr>
      </w:pPr>
      <w:r>
        <w:rPr/>
        <w:t>La observación del facilitador matiza esos resultados. Los cinco participantes técnicos completaron las dos tareas sin ayuda (en 2,4 y 1,8 minutos en promedio), mientras que ninguno de los cinco sin formación técnica lo logró (5,0 y 3,0 minutos): necesitaron ayuda para subir el archivo y para entender el resultado. Aun así, ese grupo le dio 4,2 a la afirmación D4, que dice que podría usar el sistema sin la ayuda de una persona técnica. La diferencia se explica porque el SUS mide la facilidad que la persona percibe y la observación mide si logra la tarea sola; en este caso, las dos medidas no coinciden. Los comentarios van en la misma línea: cinco personas (dos técnicas y tres no técnicas) dijeron que algunos términos o nombres de los factores eran confusos o pidieron que se explicaran, y otra pidió un botón de ayuda y dijo que la gráfica le resultó confusa, aunque la interfaz ya trae un glosario debajo de la gráfica; conviene ponerlo más a la vista, por ejemplo junto a cada factor. Dos técnicos pidieron aclarar qué hacer cuando el riesgo es medio, otros dos saber cómo se calcula la probabilidad o cuánto pesa cada factor, y tres personas (dos técnicas y una no técnica) poder analizar varios archivos o carpetas a la vez; los técnicos también sugirieron consultar el SHA-256 en VirusTotal, mostrar las importaciones y cadenas sospechosas y generar un reporte en PDF. En el módulo técnico (n = 5) calificaron con 4,2 que los factores corresponden a indicadores reconocidos del análisis estático, con 4,4 que la información basta para una evaluación preliminar y con 4,6 que recomendarían el sistema como segunda opinión. En conjunto, la aceptación es alta y las explicaciones se entienden, pero una persona sin formación técnica todavía necesita acompañamiento en su primer uso; además, la muestra es pequeña y por conveniencia (personas cercanas a los autores) y el facilitador estuvo presente, lo que puede elevar los puntajes.</w:t>
      </w:r>
      <w:r>
        <w:rPr/>
      </w:r>
      <w:r>
        <w:rPr/>
      </w:r>
      <w:r>
        <w:rPr/>
      </w:r>
    </w:p>
    <w:p>
      <w:pPr>
        <w:pStyle w:val="Descripcin"/>
        <w:keepNext/>
      </w:pPr>
      <w:r>
        <w:rPr>
          <w:rFonts w:ascii="Arial" w:hAnsi="Arial" w:cs="Arial"/>
          <w:b/>
          <w:bCs/>
          <w:color w:val="000000"/>
          <w:sz w:val="20"/>
          <w:szCs w:val="20"/>
        </w:rPr>
        <w:t xml:space="preserve">Tabla 18. Resultados de la prueba de usabilidad SUS</w:t>
      </w:r>
    </w:p>
    <w:tbl>
      <w:tblPr>
        <w:tblStyle w:val="Tablaconcuadrcula"/>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000"/>
        <w:gridCol w:w="4000"/>
      </w:tblGrid>
      <w:tr>
        <w:trPr>
          <w:tblHeader/>
        </w:trPr>
        <w:tc>
          <w:tcPr>
            <w:tcW w:w="60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Indicador</w:t>
            </w:r>
          </w:p>
        </w:tc>
        <w:tc>
          <w:tcPr>
            <w:tcW w:w="40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Resultado</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Participantes (total / sin formación técnica / con formación técnica)</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10 / 5 / 5 (21 a 59 años; del 17 al 27 de octubre de 2026)</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Puntaje SUS promedio</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86,0 (mediana 85,0)</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Desviación estándar e intervalo de confianza del 95 %</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4,7; IC 95 % (t de Student): 82,6 a 89,4</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Puntaje mínimo y máximo</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77,5 y 92,5</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Calificación según la escala de adjetivos</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Excelente (≥ 85)</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Participantes que entendieron la explicación</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90 % (9 de 10; uno parcialmente)</w:t>
            </w:r>
            <w:r>
              <w:rPr>
                <w:rFonts w:ascii="Arial" w:hAnsi="Arial" w:cs="Arial"/>
                <w:sz w:val="18"/>
                <w:szCs w:val="18"/>
              </w:rPr>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Ítems mejor y peor valorados</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Mejor: D3 (fácil de usar) y D7 (se aprende rápido), 4,7; peor: D10 (sin aprender nada nuevo), 4,0</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Puntaje SUS por perfil (con / sin formación técnica)</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87,5 / 84,5; diferencia de 3,0 puntos, no significativa (t de Welch, p = 0,35)</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Tareas completadas sin ayuda (con / sin formación técnica)</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5 de 5 / 0 de 5 en cada una de las dos tareas</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Tiempo promedio por tarea (con / sin formación técnica)</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Tarea 1: 2,4 / 5,0 min; tarea 2: 1,8 / 3,0 min</w:t>
            </w:r>
          </w:p>
        </w:tc>
      </w:tr>
      <w:tr>
        <w:tc>
          <w:tcPr>
            <w:tcW w:w="6000" w:type="dxa"/>
            <w:tcMar>
              <w:top w:w="60" w:type="dxa"/>
              <w:left w:w="100" w:type="dxa"/>
              <w:bottom w:w="60" w:type="dxa"/>
              <w:right w:w="100" w:type="dxa"/>
            </w:tcMar>
            <w:vAlign w:val="center"/>
          </w:tcPr>
          <w:p>
            <w:pPr>
              <w:spacing w:before="0" w:after="0"/>
              <w:jc w:val="left"/>
            </w:pPr>
            <w:r>
              <w:rPr>
                <w:rFonts w:ascii="Arial" w:hAnsi="Arial" w:cs="Arial"/>
                <w:sz w:val="18"/>
                <w:szCs w:val="18"/>
              </w:rPr>
              <w:t>Módulo técnico F1 / F2 / F3 (n = 5)</w:t>
            </w:r>
          </w:p>
        </w:tc>
        <w:tc>
          <w:tcPr>
            <w:tcW w:w="4000" w:type="dxa"/>
            <w:tcMar>
              <w:top w:w="60" w:type="dxa"/>
              <w:left w:w="100" w:type="dxa"/>
              <w:bottom w:w="60" w:type="dxa"/>
              <w:right w:w="100" w:type="dxa"/>
            </w:tcMar>
            <w:vAlign w:val="center"/>
          </w:tcPr>
          <w:p>
            <w:pPr>
              <w:spacing w:before="0" w:after="0"/>
              <w:jc w:val="left"/>
            </w:pPr>
            <w:r>
              <w:rPr>
                <w:rFonts w:ascii="Arial" w:hAnsi="Arial" w:cs="Arial"/>
                <w:sz w:val="18"/>
                <w:szCs w:val="18"/>
              </w:rPr>
              <w:t>4,2 / 4,4 / 4,6 de 5</w:t>
            </w:r>
          </w:p>
        </w:tc>
      </w:tr>
    </w:tbl>
    <w:p>
      <w:pPr>
        <w:spacing w:before="60" w:after="240"/>
        <w:jc w:val="left"/>
      </w:pPr>
      <w:r>
        <w:rPr>
          <w:rFonts w:ascii="Arial" w:hAnsi="Arial" w:cs="Arial"/>
          <w:i/>
          <w:iCs/>
          <w:sz w:val="18"/>
          <w:szCs w:val="18"/>
        </w:rPr>
        <w:t xml:space="preserve">Fuente: elaboración propia (notebook, Fase 4d: fase4_sus.json).</w:t>
      </w:r>
    </w:p>
    <w:p>
      <w:pPr>
        <w:pStyle w:val="Descripcin"/>
        <w:keepNext/>
      </w:pPr>
      <w:r>
        <w:rPr>
          <w:rFonts w:ascii="Arial" w:hAnsi="Arial" w:cs="Arial"/>
          <w:b/>
          <w:bCs/>
          <w:color w:val="000000"/>
          <w:sz w:val="20"/>
          <w:szCs w:val="20"/>
        </w:rPr>
        <w:t>Figura 21. Puntaje SUS por participante y respuesta promedio por ítem y perfil</w:t>
      </w:r>
    </w:p>
    <w:p>
      <w:pPr>
        <w:keepNext/>
        <w:jc w:val="center"/>
      </w:pPr>
      <w:r>
        <w:drawing>
          <wp:inline xmlns:a="http://schemas.openxmlformats.org/drawingml/2006/main" xmlns:pic="http://schemas.openxmlformats.org/drawingml/2006/picture">
            <wp:extent cx="5400000" cy="5585423"/>
            <wp:docPr id="1925695374" name="Picture 1925695374"/>
            <wp:cNvGraphicFramePr>
              <a:graphicFrameLocks noChangeAspect="1"/>
            </wp:cNvGraphicFramePr>
            <a:graphic>
              <a:graphicData uri="http://schemas.openxmlformats.org/drawingml/2006/picture">
                <pic:pic>
                  <pic:nvPicPr>
                    <pic:cNvPr id="0" name="fig_sus_resultados.png"/>
                    <pic:cNvPicPr/>
                  </pic:nvPicPr>
                  <pic:blipFill>
                    <a:blip r:embed="rId39"/>
                    <a:stretch>
                      <a:fillRect/>
                    </a:stretch>
                  </pic:blipFill>
                  <pic:spPr>
                    <a:xfrm>
                      <a:off x="0" y="0"/>
                      <a:ext cx="5400000" cy="5585423"/>
                    </a:xfrm>
                    <a:prstGeom prst="rect"/>
                  </pic:spPr>
                </pic:pic>
              </a:graphicData>
            </a:graphic>
          </wp:inline>
        </w:drawing>
      </w:r>
    </w:p>
    <w:p>
      <w:pPr>
        <w:spacing w:before="60" w:after="240"/>
        <w:jc w:val="left"/>
      </w:pPr>
      <w:r>
        <w:rPr>
          <w:rFonts w:ascii="Arial" w:hAnsi="Arial" w:cs="Arial"/>
          <w:i/>
          <w:iCs/>
          <w:sz w:val="18"/>
          <w:szCs w:val="18"/>
        </w:rPr>
        <w:t xml:space="preserve">Fuente: elaboración propia (notebook, Fase 4d).</w:t>
      </w:r>
    </w:p>
    <w:p>
      <w:pPr>
        <w:pStyle w:val="Ttulo3"/>
      </w:pPr>
      <w:r>
        <w:t xml:space="preserve">Resultado y conclusión del capítulo</w:t>
      </w:r>
    </w:p>
    <w:p w:rsidR="00AC2941" w:rsidRPr="00AC2941" w:rsidRDefault="00AC2941" w:rsidP="00AC2941">
      <w:pPr>
        <w:rPr>
          <w:rFonts w:eastAsia="Arial" w:cs="Arial"/>
          <w:color w:val="000000" w:themeColor="text1"/>
        </w:rPr>
      </w:pPr>
      <w:r>
        <w:t>El tercer objetivo específico se cumplió: el sistema quedó desplegado en una interfaz web que integra el modelo seleccionado y una capa de explicabilidad basada en SHAP (con LIME como contraste), presenta cada decisión con un nivel de riesgo, una recomendación y factores explicados en español, y fue validado con 9 de 9 pruebas funcionales superadas, una cobertura de explicación del 100 %, una prueba exploratoria a ciegas con archivos externos que mostró tanto la legibilidad de las explicaciones como el límite práctico del modelo de 15 características (tres falsos positivos con ejecutables sin firma), y una latencia de extremo a extremo (percentil 95) de 0,9 s para archivos de 1 MB y 3,5 s para archivos de 5 MB; la meta de 10 s no se cumplió para archivos de 20 MB (11,4 s), por el costo de la extracción de características. En la prueba de usabilidad, con 10 participantes, el puntaje SUS promedio fue de 86,0 (IC 95 %: 82,6 a 89,4) y 9 de 10 personas entendieron por qué el sistema clasificó el archivo; sin embargo, los cinco participantes sin formación técnica necesitaron ayuda para subir el archivo y entender el resultado.</w:t>
      </w:r>
      <w:r>
        <w:rPr>
          <w:highlight w:val="yellow"/>
        </w:rPr>
      </w:r>
      <w:r>
        <w:t xml:space="preserve"> </w:t>
      </w:r>
      <w:r>
        <w:t xml:space="preserve">En la Tabla 19 se comparan estos resultados con la compuerta KPI-3</w:t>
      </w:r>
      <w:r>
        <w:t xml:space="preserve">.</w:t>
      </w:r>
    </w:p>
    <w:p>
      <w:pPr>
        <w:pStyle w:val="Descripcin"/>
        <w:keepNext/>
      </w:pPr>
      <w:r>
        <w:rPr>
          <w:rFonts w:ascii="Arial" w:hAnsi="Arial" w:cs="Arial"/>
          <w:b/>
          <w:bCs/>
          <w:color w:val="000000"/>
          <w:sz w:val="20"/>
          <w:szCs w:val="20"/>
        </w:rPr>
        <w:t xml:space="preserve">Tabla 19. Verificación de la compuerta KPI-3</w:t>
      </w:r>
    </w:p>
    <w:tbl>
      <w:tblPr>
        <w:tblStyle w:val="Tablaconcuadrcula"/>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2000"/>
        <w:gridCol w:w="2400"/>
        <w:gridCol w:w="2000"/>
      </w:tblGrid>
      <w:tr>
        <w:trPr>
          <w:tblHeader/>
        </w:trPr>
        <w:tc>
          <w:tcPr>
            <w:tcW w:w="36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Indicador</w:t>
            </w:r>
          </w:p>
        </w:tc>
        <w:tc>
          <w:tcPr>
            <w:tcW w:w="20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Meta</w:t>
            </w:r>
          </w:p>
        </w:tc>
        <w:tc>
          <w:tcPr>
            <w:tcW w:w="24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Resultado</w:t>
            </w:r>
          </w:p>
        </w:tc>
        <w:tc>
          <w:tcPr>
            <w:tcW w:w="20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Cumple</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Cobertura de explicación</w:t>
            </w:r>
          </w:p>
        </w:tc>
        <w:tc>
          <w:tcPr>
            <w:tcW w:w="2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100 %</w:t>
            </w:r>
          </w:p>
        </w:tc>
        <w:tc>
          <w:tcPr>
            <w:tcW w:w="24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100 %</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Sí</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Latencia de extremo a extremo (p95, 20 MB)</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&lt; 10 s</w:t>
            </w:r>
          </w:p>
        </w:tc>
        <w:tc>
          <w:tcPr>
            <w:tcW w:w="2400" w:type="dxa"/>
            <w:tcMar>
              <w:top w:w="60" w:type="dxa"/>
              <w:left w:w="100" w:type="dxa"/>
              <w:bottom w:w="60" w:type="dxa"/>
              <w:right w:w="100" w:type="dxa"/>
            </w:tcMar>
            <w:vAlign w:val="center"/>
          </w:tcPr>
          <w:p>
            <w:pPr>
              <w:spacing w:before="0" w:after="0"/>
              <w:jc w:val="left"/>
            </w:pPr>
            <w:r>
              <w:rPr>
                <w:rFonts w:ascii="Arial" w:hAnsi="Arial" w:cs="Arial"/>
                <w:sz w:val="18"/>
                <w:szCs w:val="18"/>
              </w:rPr>
              <w:t>11,40 s (3,48 s para 5 MB; 0,88 s para 1 MB)</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No (sí hasta 5 MB)</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Pruebas funcionales</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9 de 9</w:t>
            </w:r>
          </w:p>
        </w:tc>
        <w:tc>
          <w:tcPr>
            <w:tcW w:w="24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9 de 9</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Sí</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Usabilidad (SUS)</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70</w:t>
            </w:r>
          </w:p>
        </w:tc>
        <w:tc>
          <w:tcPr>
            <w:tcW w:w="2400" w:type="dxa"/>
            <w:tcMar>
              <w:top w:w="60" w:type="dxa"/>
              <w:left w:w="100" w:type="dxa"/>
              <w:bottom w:w="60" w:type="dxa"/>
              <w:right w:w="100" w:type="dxa"/>
            </w:tcMar>
            <w:vAlign w:val="center"/>
          </w:tcPr>
          <w:p>
            <w:pPr>
              <w:spacing w:before="0" w:after="0"/>
              <w:jc w:val="left"/>
            </w:pPr>
            <w:r>
              <w:rPr>
                <w:rFonts w:ascii="Arial" w:hAnsi="Arial" w:cs="Arial"/>
                <w:sz w:val="18"/>
                <w:szCs w:val="18"/>
              </w:rPr>
              <w:t>86,0 (IC 95 %: 82,6 a 89,4; n = 10)</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Sí</w:t>
            </w:r>
          </w:p>
        </w:tc>
      </w:tr>
    </w:tbl>
    <w:p>
      <w:pPr>
        <w:spacing w:before="60" w:after="240"/>
        <w:jc w:val="left"/>
      </w:pPr>
      <w:r>
        <w:rPr>
          <w:rFonts w:ascii="Arial" w:hAnsi="Arial" w:cs="Arial"/>
          <w:i/>
          <w:iCs/>
          <w:sz w:val="18"/>
          <w:szCs w:val="18"/>
        </w:rPr>
        <w:t xml:space="preserve">Fuente: elaboración propia (notebook: cuadro_cumplimiento_metas.csv).</w:t>
      </w:r>
    </w:p>
    <w:p w14:paraId="5E5AF421" w14:textId="19C2ABB7" w:rsidR="00BB0F5B" w:rsidRPr="00BC18B2" w:rsidRDefault="6EF30555" w:rsidP="00BC18B2">
      <w:pPr>
        <w:pStyle w:val="Ttulo1"/>
        <w:rPr>
          <w:b/>
        </w:rPr>
      </w:pPr>
      <w:bookmarkStart w:id="50" w:name="_Toc240146223"/>
      <w:bookmarkEnd w:id="43"/>
      <w:bookmarkEnd w:id="44"/>
      <w:r>
        <w:rPr>
          <w:b/>
        </w:rPr>
        <w:t>CONCLUSIONES</w:t>
      </w:r>
      <w:bookmarkEnd w:id="50"/>
      <w:r>
        <w:rPr>
          <w:b/>
        </w:rPr>
        <w:t xml:space="preserve"> </w:t>
      </w:r>
    </w:p>
    <w:p w:rsidR="00AC2941" w:rsidRPr="00AC2941" w:rsidRDefault="00AC2941" w:rsidP="00AC2941">
      <w:pPr>
        <w:rPr>
          <w:rFonts w:eastAsia="Arial" w:cs="Arial"/>
          <w:color w:val="000000" w:themeColor="text1"/>
        </w:rPr>
      </w:pPr>
      <w:r>
        <w:t>El proyecto respondió a la pregunta de investigación implementando un sistema inteligente de detección de malware que integra machine learning, inteligencia artificial explicable y una interfaz web para usuarios sin formación técnica, y desarrolló el objetivo general a través de sus tres objetivos específicos. Las conclusiones que siguen recogen los resultados obtenidos frente a las metas fijadas en el anteproyecto (Tabla 20): cuatro de las siete metas se cumplieron y tres no se alcanzaron (en el caso de la latencia, solo para archivos de 20 MB).</w:t>
      </w:r>
    </w:p>
    <w:p>
      <w:pPr>
        <w:pStyle w:val="Descripcin"/>
        <w:keepNext/>
      </w:pPr>
      <w:r>
        <w:rPr>
          <w:rFonts w:ascii="Arial" w:hAnsi="Arial" w:cs="Arial"/>
          <w:b/>
          <w:bCs/>
          <w:color w:val="000000"/>
          <w:sz w:val="20"/>
          <w:szCs w:val="20"/>
        </w:rPr>
        <w:t xml:space="preserve">Tabla 20. Cumplimiento de las metas del proyecto</w:t>
      </w:r>
    </w:p>
    <w:tbl>
      <w:tblPr>
        <w:tblStyle w:val="Tablaconcuadrcula"/>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2000"/>
        <w:gridCol w:w="2400"/>
        <w:gridCol w:w="2000"/>
      </w:tblGrid>
      <w:tr>
        <w:trPr>
          <w:tblHeader/>
        </w:trPr>
        <w:tc>
          <w:tcPr>
            <w:tcW w:w="36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Indicador</w:t>
            </w:r>
          </w:p>
        </w:tc>
        <w:tc>
          <w:tcPr>
            <w:tcW w:w="20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Meta</w:t>
            </w:r>
          </w:p>
        </w:tc>
        <w:tc>
          <w:tcPr>
            <w:tcW w:w="24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Resultado</w:t>
            </w:r>
          </w:p>
        </w:tc>
        <w:tc>
          <w:tcPr>
            <w:tcW w:w="2000" w:type="dxa"/>
            <w:tcMar>
              <w:top w:w="60" w:type="dxa"/>
              <w:left w:w="100" w:type="dxa"/>
              <w:bottom w:w="60" w:type="dxa"/>
              <w:right w:w="100" w:type="dxa"/>
            </w:tcMar>
            <w:vAlign w:val="center"/>
          </w:tcPr>
          <w:p>
            <w:pPr>
              <w:spacing w:before="0" w:after="0"/>
              <w:jc w:val="center"/>
            </w:pPr>
            <w:r>
              <w:rPr>
                <w:rFonts w:ascii="Arial" w:hAnsi="Arial" w:cs="Arial"/>
                <w:b/>
                <w:bCs/>
                <w:sz w:val="18"/>
                <w:szCs w:val="18"/>
              </w:rPr>
              <w:t xml:space="preserve">Cumple</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Reducción de dimensionalidad</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90 %</w:t>
            </w:r>
          </w:p>
        </w:tc>
        <w:tc>
          <w:tcPr>
            <w:tcW w:w="24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99,42 % (15 de 2.568 características)</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Sí</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F1 conservado tras la selección</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95 %</w:t>
            </w:r>
          </w:p>
        </w:tc>
        <w:tc>
          <w:tcPr>
            <w:tcW w:w="24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95,45 %</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Sí</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F1-score (prueba temporal)</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0,95</w:t>
            </w:r>
          </w:p>
        </w:tc>
        <w:tc>
          <w:tcPr>
            <w:tcW w:w="24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0,9251</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No</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Tasa de falsos positivos</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5 %</w:t>
            </w:r>
          </w:p>
        </w:tc>
        <w:tc>
          <w:tcPr>
            <w:tcW w:w="24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7,41 %</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No</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Cobertura de explicaciones</w:t>
            </w:r>
          </w:p>
        </w:tc>
        <w:tc>
          <w:tcPr>
            <w:tcW w:w="20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100 %</w:t>
            </w:r>
          </w:p>
        </w:tc>
        <w:tc>
          <w:tcPr>
            <w:tcW w:w="2400" w:type="dxa"/>
            <w:tcMar>
              <w:top w:w="60" w:type="dxa"/>
              <w:left w:w="100" w:type="dxa"/>
              <w:bottom w:w="60" w:type="dxa"/>
              <w:right w:w="100" w:type="dxa"/>
            </w:tcMar>
            <w:vAlign w:val="center"/>
          </w:tcPr>
          <w:p>
            <w:pPr>
              <w:spacing w:before="0" w:after="0"/>
              <w:jc w:val="center"/>
            </w:pPr>
            <w:r>
              <w:rPr>
                <w:rFonts w:ascii="Arial" w:hAnsi="Arial" w:cs="Arial"/>
                <w:sz w:val="18"/>
                <w:szCs w:val="18"/>
              </w:rPr>
              <w:t xml:space="preserve">100 %</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Sí</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Latencia por archivo (p95, 20 MB)</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&lt; 10 s</w:t>
            </w:r>
          </w:p>
        </w:tc>
        <w:tc>
          <w:tcPr>
            <w:tcW w:w="2400" w:type="dxa"/>
            <w:tcMar>
              <w:top w:w="60" w:type="dxa"/>
              <w:left w:w="100" w:type="dxa"/>
              <w:bottom w:w="60" w:type="dxa"/>
              <w:right w:w="100" w:type="dxa"/>
            </w:tcMar>
            <w:vAlign w:val="center"/>
          </w:tcPr>
          <w:p>
            <w:pPr>
              <w:spacing w:before="0" w:after="0"/>
              <w:jc w:val="left"/>
            </w:pPr>
            <w:r>
              <w:rPr>
                <w:rFonts w:ascii="Arial" w:hAnsi="Arial" w:cs="Arial"/>
                <w:sz w:val="18"/>
                <w:szCs w:val="18"/>
              </w:rPr>
              <w:t>11,40 s (3,48 s para archivos de 5 MB)</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No (sí hasta 5 MB)</w:t>
            </w:r>
          </w:p>
        </w:tc>
      </w:tr>
      <w:tr>
        <w:tc>
          <w:tcPr>
            <w:tcW w:w="36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Usabilidad SUS</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 xml:space="preserve">≥ 70</w:t>
            </w:r>
          </w:p>
        </w:tc>
        <w:tc>
          <w:tcPr>
            <w:tcW w:w="2400" w:type="dxa"/>
            <w:tcMar>
              <w:top w:w="60" w:type="dxa"/>
              <w:left w:w="100" w:type="dxa"/>
              <w:bottom w:w="60" w:type="dxa"/>
              <w:right w:w="100" w:type="dxa"/>
            </w:tcMar>
            <w:vAlign w:val="center"/>
          </w:tcPr>
          <w:p>
            <w:pPr>
              <w:spacing w:before="0" w:after="0"/>
              <w:jc w:val="left"/>
            </w:pPr>
            <w:r>
              <w:rPr>
                <w:rFonts w:ascii="Arial" w:hAnsi="Arial" w:cs="Arial"/>
                <w:sz w:val="18"/>
                <w:szCs w:val="18"/>
              </w:rPr>
              <w:t>86,0 (IC 95 %: 82,6 a 89,4; n = 10)</w:t>
            </w:r>
          </w:p>
        </w:tc>
        <w:tc>
          <w:tcPr>
            <w:tcW w:w="2000" w:type="dxa"/>
            <w:tcMar>
              <w:top w:w="60" w:type="dxa"/>
              <w:left w:w="100" w:type="dxa"/>
              <w:bottom w:w="60" w:type="dxa"/>
              <w:right w:w="100" w:type="dxa"/>
            </w:tcMar>
            <w:vAlign w:val="center"/>
          </w:tcPr>
          <w:p>
            <w:pPr>
              <w:spacing w:before="0" w:after="0"/>
              <w:jc w:val="left"/>
            </w:pPr>
            <w:r>
              <w:rPr>
                <w:rFonts w:ascii="Arial" w:hAnsi="Arial" w:cs="Arial"/>
                <w:sz w:val="18"/>
                <w:szCs w:val="18"/>
              </w:rPr>
              <w:t>Sí</w:t>
            </w:r>
          </w:p>
        </w:tc>
      </w:tr>
    </w:tbl>
    <w:p>
      <w:pPr>
        <w:spacing w:before="60" w:after="240"/>
        <w:jc w:val="left"/>
      </w:pPr>
      <w:r>
        <w:rPr>
          <w:rFonts w:ascii="Arial" w:hAnsi="Arial" w:cs="Arial"/>
          <w:i/>
          <w:iCs/>
          <w:sz w:val="18"/>
          <w:szCs w:val="18"/>
        </w:rPr>
        <w:t xml:space="preserve">Fuente: elaboración propia (notebook: cuadro_cumplimiento_metas.csv).</w:t>
      </w:r>
    </w:p>
    <w:p w:rsidR="00AC2941" w:rsidRPr="00AC2941" w:rsidRDefault="00AC2941" w:rsidP="00AC2941">
      <w:pPr>
        <w:rPr>
          <w:rFonts w:eastAsia="Arial" w:cs="Arial"/>
          <w:color w:val="000000" w:themeColor="text1"/>
        </w:rPr>
      </w:pPr>
      <w:r>
        <w:t xml:space="preserve">En cuanto al primer objetivo, se construyó un conjunto de datos representativo y actual a partir del subconjunto PE de EMBER2024 (548.997 archivos únicos de entrenamiento, 539.940 de prueba temporal y 4.868 de desafío), y se demostró que 15 de las 2.568 características estáticas bastan para conservar el 95,45 % del F1 de referencia, lo que reduce en 99,42 % la dimensionalidad y, con ella, el costo de extracción e inferencia del sistema. </w:t>
      </w:r>
      <w:r>
        <w:t xml:space="preserve">La mayoría de las características elegidas vienen de los encabezados PE, de la firma Authenticode y de las advertencias de formato, y se completan con la entropía del contenido y del overlay, las exportaciones y las reubicaciones. Esto encaja con lo que se espera en el análisis de malware: el software legítimo suele ser una biblioteca firmada, bien construida y compilada con las protecciones modernas del enlazador, mientras que el malware suele ser un ejecutable sin firma válida, con secciones extrañas y contenido empaquetado o cifrado. Al armar el conjunto también se aprendió algo práctico: los archivos comprimidos de EMBER2024 traen cada registro dos veces, así que es obligatorio quitar los duplicados por SHA-256 para no creer que hay más datos de los que realmente hay ni dañar la evaluación.</w:t>
      </w:r>
    </w:p>
    <w:p w:rsidR="00AC2941" w:rsidRPr="00AC2941" w:rsidRDefault="00AC2941" w:rsidP="00AC2941">
      <w:pPr>
        <w:rPr>
          <w:rFonts w:eastAsia="Arial" w:cs="Arial"/>
          <w:color w:val="000000" w:themeColor="text1"/>
        </w:rPr>
      </w:pPr>
      <w:r>
        <w:t xml:space="preserve">Sobre el segundo objetivo, al comparar Random Forest, XGBoost y una red neuronal densa con validación cruzada y evaluación temporal, Random Forest fue el que mejor equilibró el recall, los falsos positivos y la detección de malware evasivo (F1 = 0,9251, recall = 0,9245, FPR = 7,41 %, AUC-ROC = 0,978). XGBoost quedó a solo 0,3 puntos de F1 y con una latencia y un tamaño de modelo mucho menores, y la red neuronal densa fue peor en todas las métricas con estos datos tabulares. Evaluar con archivos posteriores al entrenamiento y con el conjunto de desafío dejó ver dos cosas que las particiones aleatorias esconden: el F1 bajó casi dos puntos entre las primeras y las últimas semanas de la prueba (de 0,935 a 0,915), y el recall con malware evasivo fue del 57,3 %, muy lejos del 92,5 % de la prueba temporal. Esto confirma que el malware evasivo es difícil de detectar y que el modelo debe reentrenarse cada cierto tiempo con muestras nuevas. No se cumplieron las metas de F1 ≥ 0,95 y de FPR ≤ 5 % (se obtuvo 0,925 y 7,4 %); la razón principal es que la reducción de dimensionalidad fue muy fuerte (la misma curva K vs. F1 muestra que con 50 características el F1 en validación pasa de 0,910 a 0,945), y a esto se suman el uso de solo una parte del entrenamiento y la evaluación temporal, que es más exigente que la aleatoria con la que se fijaron las metas</w:t>
      </w:r>
      <w:r>
        <w:t xml:space="preserve">.</w:t>
      </w:r>
    </w:p>
    <w:p w:rsidR="00AC2941" w:rsidRPr="00AC2941" w:rsidRDefault="00AC2941" w:rsidP="00AC2941">
      <w:pPr>
        <w:rPr>
          <w:rFonts w:eastAsia="Arial" w:cs="Arial"/>
          <w:color w:val="000000" w:themeColor="text1"/>
        </w:rPr>
      </w:pPr>
      <w:r>
        <w:t>En cuanto al tercer objetivo, la integración de SHAP con una capa de traducción a lenguaje natural permitió explicar el 100 % de las predicciones con un error de fidelidad de 0,000000 y un acuerdo SHAP-LIME de 0,677 (índice de Jaccard; cuatro o más factores en común en el 80 % de los archivos), en 0,6 ms por explicación; la aplicación web construida con Gradio superó las 9 pruebas funcionales y respondió en menos de 0,9 s para archivos de 1 MB y de 3,5 s para archivos de 5 MB (percentil 95), aunque no alcanzó la meta de 10 s para archivos de 20 MB (11,4 s) porque la extracción de características crece con el tamaño del archivo. Una prueba exploratoria a ciegas con cuatro archivos benignos externos (una biblioteca y tres ejecutables sin firma) mostró el límite práctico del modelo de 15 características: acertó con la biblioteca y produjo tres falsos positivos con los ejecutables sin firma, con explicaciones que hacen evidente la causa (bandera DLL y ausencia de firma digital) y que permiten a un usuario sin formación entender por qué el sistema desconfía de un archivo. En la prueba de usabilidad con 10 participantes, el puntaje SUS promedio fue de 86,0, por encima de la meta de 70 incluso en el límite inferior de su intervalo de confianza, sin diferencia significativa entre quienes tienen formación técnica y quienes no (87,5 frente a 84,5), y 9 de 10 personas entendieron la explicación; sin embargo, ninguno de los cinco participantes sin formación técnica completó las tareas sin ayuda, lo que indica que la interfaz se percibe fácil de usar, pero que el primer uso de una persona sin formación técnica todavía requiere acompañamiento.</w:t>
      </w:r>
      <w:r>
        <w:rPr>
          <w:highlight w:val="yellow"/>
        </w:rPr>
      </w:r>
      <w:r/>
    </w:p>
    <w:p w:rsidR="00AC2941" w:rsidRPr="00AC2941" w:rsidRDefault="00AC2941" w:rsidP="00AC2941">
      <w:pPr>
        <w:rPr>
          <w:rFonts w:eastAsia="Arial" w:cs="Arial"/>
          <w:color w:val="000000" w:themeColor="text1"/>
        </w:rPr>
      </w:pPr>
      <w:r>
        <w:t xml:space="preserve">El trabajo también dejó lecciones metodológicas. Evaluar con particiones temporales y con malware evasivo produce resultados más modestos que las particiones aleatorias habituales en la literatura, pero más honestos respecto al uso real del sistema; fijar de antemano las reglas de selección (el menor K que conserva el 95 % del F1; el modelo de mayor recall entre los que cumplen la meta de falsos positivos) evita decisiones a conveniencia, aunque también obliga a asumir sus consecuencias, como ocurrió con la meta de F1; las compuertas KPI cumplieron su función al hacer visible el incumplimiento y señalar la acción correctiva; y verificar la calidad de las explicaciones con indicadores cuantitativos es tan necesario como medir la exactitud del modelo.</w:t>
      </w:r>
    </w:p>
    <w:p w:rsidR="00AC2941" w:rsidRPr="00AC2941" w:rsidRDefault="00AC2941" w:rsidP="00AC2941">
      <w:pPr>
        <w:rPr>
          <w:rFonts w:eastAsia="Arial" w:cs="Arial"/>
          <w:color w:val="000000" w:themeColor="text1"/>
        </w:rPr>
      </w:pPr>
      <w:r>
        <w:t>Entre las limitaciones se encuentran el uso de una muestra del 23,5 % del entrenamiento de EMBER2024 por las restricciones de cómputo de Google Colab, la reducción a 15 características que sacrificó desempeño frente a la reducción de dimensionalidad, el análisis exclusivamente estático (que no observa el comportamiento del archivo en ejecución ni cubre el malware sin archivos), la cobertura limitada a ejecutables de Windows, el tiempo de extracción de características para archivos grandes y una prueba de usabilidad con una muestra pequeña y por conveniencia (10 personas cercanas a los autores), cuyos puntajes pueden estar influidos por la presencia del facilitador. Como trabajos futuros se proponen, en orden de prioridad: ejecutar una segunda iteración de las fases 1 y 2 con un porcentaje de F1 conservado del 99 % (K = 50 según la curva obtenida), que mantiene una reducción del 98 % y, en validación, acerca el F1 a 0,945; entrenar con el conjunto completo y con las 2.568 características en una infraestructura con más recursos; incorporar los formatos APK, ELF y PDF de EMBER2024 y las etiquetas de familia y comportamiento para enriquecer las explicaciones; combinar el análisis estático con indicadores dinámicos; automatizar el reentrenamiento periódico para mitigar la deriva temporal; optimizar el extractor de características para archivos grandes; explorar arquitecturas basadas en transformadores y modelos de lenguaje para generar explicaciones más ricas [77], [78]; mejorar el acompañamiento del primer uso (ayuda para cargar el archivo y para leer el resultado, y una explicación más clara del riesgo medio); y repetir la evaluación de usabilidad con una muestra amplia y diversa de usuarios.</w:t>
      </w:r>
    </w:p>
    <w:p w14:paraId="4D20C482" w14:textId="77777777" w:rsidR="00B826AA" w:rsidRPr="00862105" w:rsidRDefault="00BB0F5B" w:rsidP="00862105">
      <w:pPr>
        <w:ind w:firstLine="709"/>
        <w:rPr>
          <w:rFonts w:eastAsia="Arial" w:cs="Arial"/>
          <w:color w:val="000000" w:themeColor="text1"/>
        </w:rPr>
      </w:pPr>
      <w:r>
        <w:rPr>
          <w:rFonts w:eastAsia="Arial" w:cs="Arial"/>
          <w:color w:val="000000" w:themeColor="text1"/>
        </w:rPr>
        <w:br w:type="page"/>
      </w:r>
    </w:p>
    <w:p w14:paraId="505D0EC1" w14:textId="533B4C14" w:rsidR="00B826AA" w:rsidRDefault="18C1DFED" w:rsidP="2A2478EA">
      <w:pPr>
        <w:pStyle w:val="Ttulo1"/>
        <w:rPr>
          <w:rFonts w:cs="Arial"/>
          <w:b/>
          <w:bCs/>
          <w:caps w:val="0"/>
        </w:rPr>
      </w:pPr>
      <w:bookmarkStart w:id="52" w:name="_Toc240146224"/>
      <w:bookmarkEnd w:id="51"/>
      <w:r>
        <w:rPr>
          <w:rFonts w:cs="Arial"/>
          <w:b/>
          <w:bCs/>
          <w:caps w:val="0"/>
        </w:rPr>
        <w:lastRenderedPageBreak/>
        <w:t>BIBLIOGRAFÍA</w:t>
      </w:r>
      <w:bookmarkEnd w:id="52"/>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	</w:t>
      </w:r>
      <w:r>
        <w:t xml:space="preserve">JOYCE, Robert J., et al. EMBER2024 – A Benchmark Dataset for Holistic Evaluation of Malware Classifiers. En: Proceedings of the 31st ACM SIGKDD Conference on Knowledge Discovery and Data Mining (KDD '25). Toronto: ACM, 2025. arXiv:2506.05074.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	</w:t>
      </w:r>
      <w:r>
        <w:t xml:space="preserve">GEURTS, Pierre; ERNST, Damien; WEHENKEL, Louis. Extremely randomized trees. Machine Learning. 2006, 63(1), 3-42.</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	</w:t>
      </w:r>
      <w:r>
        <w:t xml:space="preserve">BROOKE, John. SUS: A "quick and dirty" usability scale. En: JORDAN, Patrick W., et al. (eds.). Usability Evaluation in Industry. Londres: Taylor &amp; Francis, 1996, 189-194.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	</w:t>
      </w:r>
      <w:r>
        <w:t xml:space="preserve">KASPERSKY. The number of the year: Kaspersky detected half a million malicious files daily in 2025 [en línea]. Comunicado de prensa, 2 de diciembre de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	</w:t>
      </w:r>
      <w:r>
        <w:t xml:space="preserve">KASPERSKY. Kaspersky Security Bulletin 2025 [en línea].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[6]	</w:t>
      </w:r>
      <w:r>
        <w:t xml:space="preserve">MORGAN, Steve. Cybercrime To Cost The World $10.5 Trillion Annually By 2025. Sausalito, Calif.: Cybersecurity Ventures, 2020.</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[7]	</w:t>
      </w:r>
      <w:r>
        <w:t xml:space="preserve">KOTHAMALI, Parameshwar Reddy; BANIK, Subrata. Limitations of Signature-Based Threat Detection. Revista de Inteligencia Artificial en Medicina. 2022, 13(1), 381-391.</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[8]	</w:t>
      </w:r>
      <w:r>
        <w:t xml:space="preserve">CHATTERJEE, Suchismita. Advanced Malware Detection in Operational Technology: Signature-Based vs. Behaviour-Based Approaches. Knowledge Information Systems. 2021.</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[9]	</w:t>
      </w:r>
      <w:r>
        <w:t xml:space="preserve">GUO, Yang. A review of Machine Learning-based zero-day attack detection: Challenges and future directions. Computer Communications. 2023, 198, 175-185.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[10]	</w:t>
      </w:r>
      <w:r>
        <w:t xml:space="preserve">ABOAOJA, Faitouri A., et al. Malware Detection Issues, Challenges, and Future Directions: A Survey. Applied Sciences. 2022, 12(17), 8482.</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[11]	</w:t>
      </w:r>
      <w:r>
        <w:t xml:space="preserve">COLOMBIA. CONGRESO DE LA REPÚBLICA. Ley Estatutaria 1581 de 2012, por la cual se dictan disposiciones generales para la protección de datos personales. Diario Oficial No. 48.587, 18 de octubre de 2012.</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[12]	</w:t>
      </w:r>
      <w:r>
        <w:t xml:space="preserve">COLOMBIA. CONGRESO DE LA REPÚBLICA. Ley 1273 de 2009, por medio de la cual se modifica el Código Penal, se crea un nuevo bien jurídico tutelado denominado "de la protección de la información y de los datos". Diario Oficial No. 47.223, 5 de enero de 2009.</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[13]	</w:t>
      </w:r>
      <w:r>
        <w:t xml:space="preserve">COLOMBIA. DEPARTAMENTO NACIONAL DE PLANEACIÓN. Documento CONPES 3995: Política Nacional de Confianza y Seguridad Digital. Bogotá: DNP, 2020.</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[14]	</w:t>
      </w:r>
      <w:r>
        <w:t xml:space="preserve">ANDERSON, Hyrum S.; ROTH, Phil. EMBER: An Open Dataset for Training Static PE Malware Machine Learning Models. arXiv preprint arXiv:1804.04637. 2018.</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[15]	</w:t>
      </w:r>
      <w:r>
        <w:t xml:space="preserve">CHECK POINT RESEARCH. Cyber Threat Intelligence Report [en línea].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[16]	</w:t>
      </w:r>
      <w:r>
        <w:t xml:space="preserve">STATISTA; DEMANDSAGE. Malware statistics 2024: Global attack volume [en línea].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[17]	</w:t>
      </w:r>
      <w:r>
        <w:t xml:space="preserve">SENTINELONE. Top 5 Cyber Security Challenges [en línea].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[18]	</w:t>
      </w:r>
      <w:r>
        <w:t xml:space="preserve">SECURELIST. Kaspersky Security Bulletin 2025. Statistics [en línea]. Diciembre de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[19]	</w:t>
      </w:r>
      <w:r>
        <w:t xml:space="preserve">FORTINET. Colombia registró 36.000 millones de intentos de ciberataques en 2024 [en línea]. Forbes Colombia,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[20]	</w:t>
      </w:r>
      <w:r>
        <w:t xml:space="preserve">IMPACTO TIC. Ciberataques en Colombia representan el 17 % de Latam [en línea].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[21]	</w:t>
      </w:r>
      <w:r>
        <w:t xml:space="preserve">ASOBANCARIA. Memoria anual de nuestra gestión 2024: Informe del CSIRT Financiero. Bogotá: Asobancaria,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[22]	</w:t>
      </w:r>
      <w:r>
        <w:t xml:space="preserve">COLOMBIA. MINISTERIO DE TECNOLOGÍAS DE LA INFORMACIÓN Y LAS COMUNICACIONES. Análisis Técnico Malware AsyncRAT, incidente COLCERT IN-0221-2879. Bogotá: MinTIC,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[23]	</w:t>
      </w:r>
      <w:r>
        <w:t xml:space="preserve">UNIVERSIDAD CATÓLICA DE COLOMBIA. La otra pandemia: el crecimiento de los ciberataques en Colombia y cómo hacerles frente [en línea]. Bogotá,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[24]	</w:t>
      </w:r>
      <w:r>
        <w:t xml:space="preserve">UNIVERSIDAD CATÓLICA DE COLOMBIA. Ciberseguridad: un desafío clave para el futuro digital [en línea]. Bogotá,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[25]	</w:t>
      </w:r>
      <w:r>
        <w:t xml:space="preserve">CÁMARA DE COMERCIO DE BOGOTÁ; OMNITEMPUS. Pymes ciberseguras. Bogotá: CCB, 2023. ISBN 978-958-688-533-1.</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[26]	</w:t>
      </w:r>
      <w:r>
        <w:t xml:space="preserve">SOPHOS. The State of Ransomware in Education 2024 [en línea].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[27]	</w:t>
      </w:r>
      <w:r>
        <w:t xml:space="preserve">SOPHOS. Sophos Report Finds Education Sector Strengthening Against Ransomware, but IT Teams Pay Personal Price [en línea]. Septiembre de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[28]	</w:t>
      </w:r>
      <w:r>
        <w:t xml:space="preserve">STEVENS, Emma. Hack to School: Top 10 Cyber Threats Facing the Education Sector in 2025 [en línea]. Bitsight Technologies, septiembre de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[29]	</w:t>
      </w:r>
      <w:r>
        <w:t xml:space="preserve">REVISTA CIBERSEGURIDAD. Análisis de las principales vulnerabilidades digitales que presenta el sector educativo [en línea].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[30]	</w:t>
      </w:r>
      <w:r>
        <w:t xml:space="preserve">AUFIERO INFORMÁTICA. Ciberseguridad en la educación: definición, amenazas, estadísticas y soluciones [en línea]. 2026.</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[31]	</w:t>
      </w:r>
      <w:r>
        <w:t xml:space="preserve">SOURWINE, Abby. Cyber Attacks on Schools Plateaued in 2025, but More Records Exposed [en línea]. GovTech, febrero de 2026.</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[32]	</w:t>
      </w:r>
      <w:r>
        <w:t xml:space="preserve">BANK OF AMERICA SECURITIES. Cyber Attack Protection for Schools &amp; Universities [en línea]. 2026.</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[33]	</w:t>
      </w:r>
      <w:r>
        <w:t xml:space="preserve">ZIPDO. Malware &amp; Education Cybersecurity Statistics [en línea].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[34]	</w:t>
      </w:r>
      <w:r>
        <w:t xml:space="preserve">MANTHENA, Harikha, et al. Explainable Artificial Intelligence (XAI) for Malware Analysis: A Survey of Techniques, Applications, and Open Challenges. IEEE Access. 2025, 13. arXiv:2409.13723.</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[35]	</w:t>
      </w:r>
      <w:r>
        <w:t xml:space="preserve">MOTE, Savitri Ashok; ARABAGATTE, Sudhakar. Survey on Detection and Mitigation Strategies for Zero-day Attacks: An Extensive Analysis of Current Developments and Case Studies. En: Proceedings of the First International Conference on Computer, Computation and Communication (IC3C-2025).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[36]	</w:t>
      </w:r>
      <w:r>
        <w:t xml:space="preserve">GALLI, Antonio, et al. Explainability in AI-based behavioral malware detection systems. Computers &amp; Security. 2024, 141, 103842.</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[37]	</w:t>
      </w:r>
      <w:r>
        <w:t xml:space="preserve">PENDLEBURY, Feargus, et al. TESSERACT: Eliminating Experimental Bias in Malware Classification across Space and Time. En: Proceedings of the 28th USENIX Security Symposium. Santa Clara: USENIX Association, 2019, 729-746.</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[38]	</w:t>
      </w:r>
      <w:r>
        <w:t xml:space="preserve">KHORMALI, Aminollah, et al. Temporal Evaluation of Machine Learning Detectors in Evolving Threat Landscapes. International Journal of Communication Networks and Information Security (IJCNIS). 2022, 14(1).</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[39]	</w:t>
      </w:r>
      <w:r>
        <w:t xml:space="preserve">COLOMBIA. MINISTERIO DE COMERCIO, INDUSTRIA Y TURISMO. Decreto 1377 de 2013, por el cual se reglamenta parcialmente la Ley 1581 de 2012. Diario Oficial No. 48.834, 27 de junio de 2013.</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[40]	</w:t>
      </w:r>
      <w:r>
        <w:t xml:space="preserve">COLOMBIA. MINISTERIO DE TECNOLOGÍAS DE LA INFORMACIÓN Y LAS COMUNICACIONES. La Estrategia Nacional de Seguridad Digital llega para enfrentar las crecientes amenazas cibernéticas [en línea]. Bogotá: MinTIC,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[41]	</w:t>
      </w:r>
      <w:r>
        <w:t xml:space="preserve">KUMAR, Kapil, et al. Machine Learning-Based Malware Detection: A Systematic Review. International Journal of Sciences and Innovation Engineering. 2026, 3(2), 612-635.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[42]	</w:t>
      </w:r>
      <w:r>
        <w:t xml:space="preserve">NATIONAL INSTITUTE OF STANDARDS AND TECHNOLOGY (NIST). Malware: definition. Computer Security Resource Center Glossary [en línea]. 2023.</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[43]	</w:t>
      </w:r>
      <w:r>
        <w:t xml:space="preserve">SIKORSKI, Michael; HONIG, Andrew. Practical Malware Analysis: The Hands-On Guide to Dissecting Malicious Software. San Francisco: No Starch Press, 2012.</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[44]	</w:t>
      </w:r>
      <w:r>
        <w:t xml:space="preserve">LUNDBERG, Scott M.; LEE, Su-In. A Unified Approach to Interpreting Model Predictions. En: Advances in Neural Information Processing Systems 30 (NIPS 2017). Long Beach: Curran Associates, 2017, 4765-4774.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[45]	</w:t>
      </w:r>
      <w:r>
        <w:t xml:space="preserve">RIBEIRO, Marco Tulio; SINGH, Sameer; GUESTRIN, Carlos. "Why Should I Trust You?": Explaining the Predictions of Any Classifier. En: Proceedings of the 22nd ACM SIGKDD International Conference on Knowledge Discovery and Data Mining. San Francisco: ACM, 2016, 1135-1144.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[46]	</w:t>
      </w:r>
      <w:r>
        <w:t xml:space="preserve">ABID, Abubakar, et al. Gradio: Hassle-Free Sharing and Testing of ML Models in the Wild. arXiv preprint arXiv:1906.02569. 2019.</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[47]	</w:t>
      </w:r>
      <w:r>
        <w:t xml:space="preserve">BREIMAN, Leo. Random Forests. Machine Learning. 2001, 45(1), 5-32.</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[48]	</w:t>
      </w:r>
      <w:r>
        <w:t xml:space="preserve">CHEN, Tianqi; GUESTRIN, Carlos. XGBoost: A Scalable Tree Boosting System. En: Proceedings of the 22nd ACM SIGKDD International Conference on Knowledge Discovery and Data Mining. San Francisco: ACM, 2016, 785-794.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[49]	</w:t>
      </w:r>
      <w:r>
        <w:t xml:space="preserve">BAKER DEL AGUILA, Ryan, et al. Static Malware Analysis Using Low-Parameter Machine Learning Models. Computers. 2024, 13(3), 59.</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[50]	</w:t>
      </w:r>
      <w:r>
        <w:t xml:space="preserve">PEDREGOSA, Fabian, et al. Scikit-learn: Machine Learning in Python. Journal of Machine Learning Research. 2011, 12, 2825-2830.</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[51]	</w:t>
      </w:r>
      <w:r>
        <w:t xml:space="preserve">PANJA, Subir, et al. An Efficient Malware Detection Approach Based on Machine Learning Feature Influence Techniques for Resource-Constrained Devices. IEEE Access. 2025, 13, 12647-12665.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[52]	</w:t>
      </w:r>
      <w:r>
        <w:t xml:space="preserve">SCHULTZ, Matthew G., et al. Data Mining Methods for Detection of New Malicious Executables. En: Proceedings of the 2001 IEEE Symposium on Security and Privacy. Oakland: IEEE, 2001, 38-49.</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[53]	</w:t>
      </w:r>
      <w:r>
        <w:t xml:space="preserve">SAXE, Joshua; BERLIN, Konstantin. Deep neural network based malware detection using two dimensional binary program features. En: 10th International Conference on Malicious and Unwanted Software (MALWARE). IEEE, 2015, 11-20.</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[54]	</w:t>
      </w:r>
      <w:r>
        <w:t xml:space="preserve">ROTH, Phil. EMBER2024: Advancing Cybersecurity ML Training on Evasive Malware [en línea]. CrowdStrike Blog, 3 de septiembre de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[55]	</w:t>
      </w:r>
      <w:r>
        <w:t xml:space="preserve">YANG, Limin, et al. BODMAS: An Open Dataset for Learning based Temporal Analysis of PE Malware. En: 4th Deep Learning and Security Workshop (IEEE Security and Privacy Workshops). IEEE, 2021.</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[56]	</w:t>
      </w:r>
      <w:r>
        <w:t xml:space="preserve">HARANG, Richard; RUDD, Ethan M. SOREL-20M: A Large Scale Benchmark Dataset for Malicious PE Detection. arXiv preprint arXiv:2012.07634. 2020.</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[57]	</w:t>
      </w:r>
      <w:r>
        <w:t xml:space="preserve">CARRIER, Tristan, et al. Detecting Obfuscated Malware using Memory Feature Engineering. En: Proceedings of the 8th International Conference on Information Systems Security and Privacy (ICISSP). SciTePress, 2022, 177-188.</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 xml:space="preserve">[58]	</w:t>
      </w:r>
      <w:r>
        <w:t xml:space="preserve">BANGOR, Aaron; KORTUM, Philip T.; MILLER, James T. An Empirical Evaluation of the System Usability Scale. International Journal of Human-Computer Interaction. 2008, 24(6), 574-594.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[59]</w:t>
        <w:tab/>
      </w:r>
      <w:r>
        <w:t>SAURO, Jeff; LEWIS, James R. When designing usability questionnaires, does it hurt to be positive? En: Proceedings of the SIGCHI Conference on Human Factors in Computing Systems (CHI 2011). Vancouver: ACM, 2011. DOI: 10.1145/1978942.1979266.</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[60]</w:t>
        <w:tab/>
      </w:r>
      <w:r>
        <w:t xml:space="preserve">ALAZAB, Mamoun, et al. Zero-day Malware Detection based on Supervised Learning Algorithms of API call Signatures. En: Proceedings of the Ninth Australasian Data Mining Conference (AusDM 2011). Ballarat: ACS, 2011, 121, 171-182.</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[61]</w:t>
        <w:tab/>
      </w:r>
      <w:r>
        <w:t xml:space="preserve">ALI, Jehad, et al. A Supervised Machine Learning Algorithm for Detecting Malware. International Journal of Computer Science Issues (IJCSI). 2012, 9(5), 272-280.</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[62]</w:t>
        <w:tab/>
      </w:r>
      <w:r>
        <w:t xml:space="preserve">RAGHAVENDRA, R.; DUTTA, Vikram. Machine Learning in Malware Detection: A Survey of Analysis Techniques. International Journal of Advanced Research in Computer and Communication Engineering. 2023, 12(4).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[63]</w:t>
        <w:tab/>
      </w:r>
      <w:r>
        <w:t xml:space="preserve">KUMAR, Vishal, et al. Comparison of Malware Detection Techniques Using Machine Learning Algorithms. En: Proceedings of the 7th International Conference on Advance Computing and Intelligent Engineering. Singapur: Springer Nature,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[64]</w:t>
        <w:tab/>
      </w:r>
      <w:r>
        <w:t xml:space="preserve">ROOPA SARIKA, M. Malware Detection System Using Machine Learning. International Journal on Science and Technology (IJSAT).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[65]</w:t>
        <w:tab/>
      </w:r>
      <w:r>
        <w:t xml:space="preserve">FRHAN, Amjad Jumaah. Hybrid Intelligence Learning and Signature-Based Framework for Zero-Day Malware Intrusion Detection. Bagdad: IARAS,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[66]</w:t>
        <w:tab/>
      </w:r>
      <w:r>
        <w:t xml:space="preserve">MATHEW, Ans Maria. ML-Based Zero-Day Attack Detection. Trabajo de maestría. Dublín: National College of Ireland, School of Computing,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[67]</w:t>
        <w:tab/>
      </w:r>
      <w:r>
        <w:t xml:space="preserve">GONZÁLEZ-MEDINA, Lilia E.; VÁZQUEZ, Roberto A. Clasificación de malware mediante redes neuronales artificiales. Revista del Centro de Investigación de la Universidad La Salle. 2015, 11(44), 69-102.</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[68]</w:t>
        <w:tab/>
      </w:r>
      <w:r>
        <w:t xml:space="preserve">MORENO-LARA, Isaí, et al. Static Malware Detection through Ensemble Feature Selection and Supervised Classification. Informatica. 2025, 49, 297-316.</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[69]</w:t>
        <w:tab/>
      </w:r>
      <w:r>
        <w:t xml:space="preserve">TANUWIDJAJA, Harry Chandra; KIM, Kwangjo. Enhancing malware detection by modified deep abstraction and weighted feature selection. En: Symposium on Cryptography and Information Security (SCIS). 2020, 1-8.</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[70]</w:t>
        <w:tab/>
      </w:r>
      <w:r>
        <w:t xml:space="preserve">HADJILA, Mourad, et al. Obfuscated malware detection using deep neural network with ANOVA feature selection on CIC-MalMem-2022 dataset. Scientific and Technical Journal of Information Technologies, Mechanics and Optics. 2024, 24(5), 851-860.</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[71]</w:t>
        <w:tab/>
      </w:r>
      <w:r>
        <w:t xml:space="preserve">MUTLU, Gökay, et al. An Efficient Ransomware Attack Detection Framework Using Machine Learning and Feature Reduction Techniques. En: Proceedings of the 2026 5th International Informatics and Software Engineering Conference (IISEC). IEEE, 2026.</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[72]</w:t>
        <w:tab/>
      </w:r>
      <w:r>
        <w:t xml:space="preserve">GUPTA, Govind P.; KUMAR, Prabhat; ALJUHANI, Ahamed. An Efficient Malware Detection Framework for Enhancing Software Security in Resource-Constrained Systems. IEEE Internet of Things Journal.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[73]</w:t>
        <w:tab/>
      </w:r>
      <w:r>
        <w:t xml:space="preserve">GUPTA, Umesh, et al. Efficient malware detection using NLP and deep learning model. Alexandria Engineering Journal. 2025, 124, 550-564.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[74]</w:t>
        <w:tab/>
      </w:r>
      <w:r>
        <w:t xml:space="preserve">DALAKY, Michael Manasseh; GIROH, Gideon Yuniyus. Particle Swarm Optimization-Based Artificial Neural Network for Network Intrusion Detection. IRE Journals. 2025, 9(5).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[75]</w:t>
        <w:tab/>
      </w:r>
      <w:r>
        <w:t xml:space="preserve">SHAKIB, M. Android Malware Detection Approaches Based on Genetic AI, CNN, RNN, LSTM, GRU, and Active Learning. SSRN Electronic Journal. 2023.</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[76]</w:t>
        <w:tab/>
      </w:r>
      <w:r>
        <w:t xml:space="preserve">TANVEER, Anmol; ALI, Arshad. Android Malware Detection Against Adversarial Attacks Using Machine Learning. En: Proceedings of the 2025 International Conference on Frontiers of Information Technology (FIT). IEEE,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[77]</w:t>
        <w:tab/>
      </w:r>
      <w:r>
        <w:t xml:space="preserve">SABER LATIBARI, Banafsheh, et al. Transformers for Secure Hardware Systems: Applications, Challenges, and Outlook. arXiv preprint arXiv:2505.22605.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[78]</w:t>
        <w:tab/>
      </w:r>
      <w:r>
        <w:t xml:space="preserve">GRAVEREAUX, Stephen C.; ISLAM, Sheikh Rabiul. Accuracy and Efficiency Trade-Offs in LLM-Based Malware Detection and Explanation: A Comparative Study of Parameter Tuning vs. Full Fine-Tuning. arXiv preprint arXiv:2511.19654.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[79]</w:t>
        <w:tab/>
      </w:r>
      <w:r>
        <w:t xml:space="preserve">BAGHIROV, Elshan. Evaluating the Trustworthiness of LEMNA versus LIME and SHAP in Explainable Malware Detection.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[80]</w:t>
        <w:tab/>
      </w:r>
      <w:r>
        <w:t xml:space="preserve">ANTHONY, Peter, et al. Explainable malware detection with tailored logic explained networks. arXiv preprint arXiv:2405.03009. 2024.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[81]</w:t>
        <w:tab/>
      </w:r>
      <w:r>
        <w:t xml:space="preserve">ALJARRAH, Njood, et al. Cross-Attention Feature Fusion for Interpretable Zero-Day Malware Detection. Statistics, Optimization and Information Computing. 2026, 15(1), 2164-2178.</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[82]</w:t>
        <w:tab/>
      </w:r>
      <w:r>
        <w:t xml:space="preserve">FARFOURA, Mahmoud E.; ALIA, Mohammad; CONNIE, Tee. HAGEN: Unveiling Obfuscated Memory Threats via Hierarchical Attention-Gated Explainable Networks. Electronics. 2026, 15(2), 352.</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[83]</w:t>
        <w:tab/>
      </w:r>
      <w:r>
        <w:t xml:space="preserve">AL-ODAT, Zeyad. Optimized Distributed Gradient Boosting with Explainable Artificial Intelligence for Real-Time Ransomware Detection in Networked Environments. International Journal of Electrical and Electronic Engineering and Telecommunications. 2025, 14(4), 233-241.</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[84]</w:t>
        <w:tab/>
      </w:r>
      <w:r>
        <w:t xml:space="preserve">SRISUMRITH, Norrakith; SODSEE, Sunantha. Detecting Cybersecurity Threats by Integrating Explainable AI with SHAP Interpretability and Strategic Data Sampling. En: Lecture Notes in Networks and Systems. Springer, 2026.</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[85]</w:t>
        <w:tab/>
      </w:r>
      <w:r>
        <w:t xml:space="preserve">NILESH, et al. Explainable Malware Detection in Distributed Cloud Environments using MLP. International Journal of Communication Networks and Information Security (IJCNIS). 2025, 15(4).</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[86]</w:t>
        <w:tab/>
      </w:r>
      <w:r>
        <w:t xml:space="preserve">AMBEKAR, N. G., et al. TabLSTMNet: enhancing android malware classification through integrated attention and explainable AI. Microsystem Technologies. 2024, 1-19.</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[87]</w:t>
        <w:tab/>
      </w:r>
      <w:r>
        <w:t xml:space="preserve">CONSEJO DE EUROPA. Convenio sobre la Ciberdelincuencia (Convenio de Budapest). Serie de Tratados Europeos n.º 185. Budapest, 23 de noviembre de 2001.</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[88]</w:t>
        <w:tab/>
      </w:r>
      <w:r>
        <w:t xml:space="preserve">HARIS, Muhammad. Polymorphic Malware Dataset (2025) [conjunto de datos en línea]. Kaggle, 2025.</w:t>
      </w:r>
    </w:p>
    <w:p w:rsidR="00894F1E" w:rsidRPr="00C40287" w:rsidRDefault="00894F1E" w:rsidP="00894F1E">
      <w:pPr>
        <w:pStyle w:val="Prrafodelista"/>
        <w:tabs>
          <w:tab w:val="left" w:pos="1248"/>
        </w:tabs>
        <w:autoSpaceDE w:val="0"/>
        <w:autoSpaceDN w:val="0"/>
        <w:ind w:right="0" w:left="720" w:hanging="720"/>
        <w:contextualSpacing w:val="0"/>
        <w:rPr>
          <w:lang w:val="en-US"/>
        </w:rPr>
      </w:pPr>
      <w:r>
        <w:rPr>
          <w:b/>
          <w:bCs/>
        </w:rPr>
        <w:t>[89]</w:t>
        <w:tab/>
      </w:r>
      <w:r>
        <w:t>TULLIS, Thomas S.; STETSON, Jacqueline N. A Comparison of Questionnaires for Assessing Website Usability. En: Usability Professionals Association Annual Conference (UPA 2004). 2004.</w:t>
      </w:r>
    </w:p>
    <w:sectPr w:rsidR="003E2384" w:rsidRPr="00862105" w:rsidSect="001665AB">
      <w:footerReference w:type="default" r:id="rId16"/>
      <w:pgSz w:w="12242" w:h="15842"/>
      <w:pgMar w:top="1134" w:right="1134" w:bottom="1134" w:left="1134" w:header="0" w:footer="1134"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E7A33" w14:textId="77777777" w:rsidR="002C12AB" w:rsidRDefault="002C12AB">
      <w:r>
        <w:separator/>
      </w:r>
    </w:p>
  </w:endnote>
  <w:endnote w:type="continuationSeparator" w:id="0">
    <w:p w14:paraId="2FABEB14" w14:textId="77777777" w:rsidR="002C12AB" w:rsidRDefault="002C1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540241"/>
      <w:docPartObj>
        <w:docPartGallery w:val="Page Numbers (Bottom of Page)"/>
        <w:docPartUnique/>
      </w:docPartObj>
    </w:sdtPr>
    <w:sdtContent>
      <w:p w14:paraId="785EAB6A" w14:textId="6CBEC404" w:rsidR="005D76A8" w:rsidRDefault="005D76A8">
        <w:pPr>
          <w:pStyle w:val="Piedepgina"/>
          <w:jc w:val="right"/>
        </w:pPr>
        <w:r>
          <w:fldChar w:fldCharType="begin"/>
        </w:r>
        <w:r>
          <w:instrText>PAGE   \* MERGEFORMAT</w:instrText>
        </w:r>
        <w:r>
          <w:fldChar w:fldCharType="separate"/>
        </w:r>
        <w:r>
          <w:rPr>
            <w:lang w:val="es-ES"/>
          </w:rPr>
          <w:t>2</w:t>
        </w:r>
        <w:r>
          <w:fldChar w:fldCharType="end"/>
        </w:r>
      </w:p>
    </w:sdtContent>
  </w:sdt>
  <w:p w14:paraId="6F0955F6" w14:textId="77777777" w:rsidR="00393C66" w:rsidRDefault="00393C66">
    <w:pPr>
      <w:tabs>
        <w:tab w:val="center" w:pos="4252"/>
        <w:tab w:val="right"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0463779"/>
      <w:docPartObj>
        <w:docPartGallery w:val="AutoText"/>
      </w:docPartObj>
    </w:sdtPr>
    <w:sdtContent>
      <w:p w14:paraId="6EC08526" w14:textId="4D9CF418" w:rsidR="00393C66" w:rsidRDefault="00393C66">
        <w:pPr>
          <w:pStyle w:val="Piedepgina"/>
          <w:jc w:val="center"/>
        </w:pPr>
        <w:r>
          <w:fldChar w:fldCharType="begin"/>
        </w:r>
        <w:r>
          <w:instrText>PAGE   \* MERGEFORMAT</w:instrText>
        </w:r>
        <w:r>
          <w:fldChar w:fldCharType="separate"/>
        </w:r>
        <w:r w:rsidR="00E83CD9" w:rsidRPr="00E83CD9">
          <w:rPr>
            <w:noProof/>
            <w:lang w:val="es-ES"/>
          </w:rPr>
          <w:t>24</w:t>
        </w:r>
        <w:r>
          <w:fldChar w:fldCharType="end"/>
        </w:r>
      </w:p>
    </w:sdtContent>
  </w:sdt>
  <w:p w14:paraId="6AC0F452" w14:textId="77777777" w:rsidR="00393C66" w:rsidRDefault="00393C66">
    <w:pPr>
      <w:tabs>
        <w:tab w:val="center" w:pos="4252"/>
        <w:tab w:val="right"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FDDDF" w14:textId="77777777" w:rsidR="002C12AB" w:rsidRDefault="002C12AB">
      <w:r>
        <w:separator/>
      </w:r>
    </w:p>
  </w:footnote>
  <w:footnote w:type="continuationSeparator" w:id="0">
    <w:p w14:paraId="18C905B4" w14:textId="77777777" w:rsidR="002C12AB" w:rsidRDefault="002C12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775"/>
    <w:multiLevelType w:val="hybridMultilevel"/>
    <w:tmpl w:val="B34848A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 w15:restartNumberingAfterBreak="0">
    <w:nsid w:val="084322AE"/>
    <w:multiLevelType w:val="multilevel"/>
    <w:tmpl w:val="0843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290739"/>
    <w:multiLevelType w:val="multilevel"/>
    <w:tmpl w:val="0A290739"/>
    <w:lvl w:ilvl="0">
      <w:start w:val="2"/>
      <w:numFmt w:val="decimal"/>
      <w:lvlText w:val="%1."/>
      <w:lvlJc w:val="left"/>
      <w:pPr>
        <w:ind w:left="1667" w:hanging="390"/>
      </w:pPr>
    </w:lvl>
    <w:lvl w:ilvl="1">
      <w:start w:val="1"/>
      <w:numFmt w:val="decimal"/>
      <w:lvlText w:val="%1.%2."/>
      <w:lvlJc w:val="left"/>
      <w:pPr>
        <w:ind w:left="-413" w:hanging="720"/>
      </w:pPr>
      <w:rPr>
        <w:rFonts w:hint="default"/>
      </w:rPr>
    </w:lvl>
    <w:lvl w:ilvl="2">
      <w:start w:val="1"/>
      <w:numFmt w:val="decimal"/>
      <w:lvlText w:val="%1.%2.%3."/>
      <w:lvlJc w:val="left"/>
      <w:pPr>
        <w:ind w:left="-1406" w:hanging="720"/>
      </w:pPr>
      <w:rPr>
        <w:rFonts w:hint="default"/>
      </w:rPr>
    </w:lvl>
    <w:lvl w:ilvl="3">
      <w:start w:val="1"/>
      <w:numFmt w:val="decimal"/>
      <w:lvlText w:val="%1.%2.%3.%4."/>
      <w:lvlJc w:val="left"/>
      <w:pPr>
        <w:ind w:left="939"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717" w:hanging="1440"/>
      </w:pPr>
      <w:rPr>
        <w:rFonts w:hint="default"/>
      </w:rPr>
    </w:lvl>
    <w:lvl w:ilvl="6">
      <w:start w:val="1"/>
      <w:numFmt w:val="decimal"/>
      <w:lvlText w:val="%1.%2.%3.%4.%5.%6.%7."/>
      <w:lvlJc w:val="left"/>
      <w:pPr>
        <w:ind w:left="3426" w:hanging="1440"/>
      </w:pPr>
      <w:rPr>
        <w:rFonts w:hint="default"/>
      </w:rPr>
    </w:lvl>
    <w:lvl w:ilvl="7">
      <w:start w:val="1"/>
      <w:numFmt w:val="decimal"/>
      <w:lvlText w:val="%1.%2.%3.%4.%5.%6.%7.%8."/>
      <w:lvlJc w:val="left"/>
      <w:pPr>
        <w:ind w:left="4495" w:hanging="1800"/>
      </w:pPr>
      <w:rPr>
        <w:rFonts w:hint="default"/>
      </w:rPr>
    </w:lvl>
    <w:lvl w:ilvl="8">
      <w:start w:val="1"/>
      <w:numFmt w:val="decimal"/>
      <w:lvlText w:val="%1.%2.%3.%4.%5.%6.%7.%8.%9."/>
      <w:lvlJc w:val="left"/>
      <w:pPr>
        <w:ind w:left="5564" w:hanging="2160"/>
      </w:pPr>
      <w:rPr>
        <w:rFonts w:hint="default"/>
      </w:rPr>
    </w:lvl>
  </w:abstractNum>
  <w:abstractNum w:abstractNumId="3" w15:restartNumberingAfterBreak="0">
    <w:nsid w:val="0EB5E609"/>
    <w:multiLevelType w:val="hybridMultilevel"/>
    <w:tmpl w:val="A044D0E4"/>
    <w:lvl w:ilvl="0" w:tplc="6818CC06">
      <w:start w:val="1"/>
      <w:numFmt w:val="bullet"/>
      <w:lvlText w:val=""/>
      <w:lvlJc w:val="left"/>
      <w:pPr>
        <w:ind w:left="1080" w:hanging="360"/>
      </w:pPr>
      <w:rPr>
        <w:rFonts w:ascii="Symbol" w:hAnsi="Symbol" w:hint="default"/>
      </w:rPr>
    </w:lvl>
    <w:lvl w:ilvl="1" w:tplc="9CBA30EC">
      <w:start w:val="1"/>
      <w:numFmt w:val="bullet"/>
      <w:lvlText w:val="o"/>
      <w:lvlJc w:val="left"/>
      <w:pPr>
        <w:ind w:left="1800" w:hanging="360"/>
      </w:pPr>
      <w:rPr>
        <w:rFonts w:ascii="Courier New" w:hAnsi="Courier New" w:hint="default"/>
      </w:rPr>
    </w:lvl>
    <w:lvl w:ilvl="2" w:tplc="16204502">
      <w:start w:val="1"/>
      <w:numFmt w:val="bullet"/>
      <w:lvlText w:val=""/>
      <w:lvlJc w:val="left"/>
      <w:pPr>
        <w:ind w:left="2520" w:hanging="360"/>
      </w:pPr>
      <w:rPr>
        <w:rFonts w:ascii="Wingdings" w:hAnsi="Wingdings" w:hint="default"/>
      </w:rPr>
    </w:lvl>
    <w:lvl w:ilvl="3" w:tplc="BA20F39A">
      <w:start w:val="1"/>
      <w:numFmt w:val="bullet"/>
      <w:lvlText w:val=""/>
      <w:lvlJc w:val="left"/>
      <w:pPr>
        <w:ind w:left="3240" w:hanging="360"/>
      </w:pPr>
      <w:rPr>
        <w:rFonts w:ascii="Symbol" w:hAnsi="Symbol" w:hint="default"/>
      </w:rPr>
    </w:lvl>
    <w:lvl w:ilvl="4" w:tplc="FAAE7724">
      <w:start w:val="1"/>
      <w:numFmt w:val="bullet"/>
      <w:lvlText w:val="o"/>
      <w:lvlJc w:val="left"/>
      <w:pPr>
        <w:ind w:left="3960" w:hanging="360"/>
      </w:pPr>
      <w:rPr>
        <w:rFonts w:ascii="Courier New" w:hAnsi="Courier New" w:hint="default"/>
      </w:rPr>
    </w:lvl>
    <w:lvl w:ilvl="5" w:tplc="1884F144">
      <w:start w:val="1"/>
      <w:numFmt w:val="bullet"/>
      <w:lvlText w:val=""/>
      <w:lvlJc w:val="left"/>
      <w:pPr>
        <w:ind w:left="4680" w:hanging="360"/>
      </w:pPr>
      <w:rPr>
        <w:rFonts w:ascii="Wingdings" w:hAnsi="Wingdings" w:hint="default"/>
      </w:rPr>
    </w:lvl>
    <w:lvl w:ilvl="6" w:tplc="5BB82AEE">
      <w:start w:val="1"/>
      <w:numFmt w:val="bullet"/>
      <w:lvlText w:val=""/>
      <w:lvlJc w:val="left"/>
      <w:pPr>
        <w:ind w:left="5400" w:hanging="360"/>
      </w:pPr>
      <w:rPr>
        <w:rFonts w:ascii="Symbol" w:hAnsi="Symbol" w:hint="default"/>
      </w:rPr>
    </w:lvl>
    <w:lvl w:ilvl="7" w:tplc="4B6CEB04">
      <w:start w:val="1"/>
      <w:numFmt w:val="bullet"/>
      <w:lvlText w:val="o"/>
      <w:lvlJc w:val="left"/>
      <w:pPr>
        <w:ind w:left="6120" w:hanging="360"/>
      </w:pPr>
      <w:rPr>
        <w:rFonts w:ascii="Courier New" w:hAnsi="Courier New" w:hint="default"/>
      </w:rPr>
    </w:lvl>
    <w:lvl w:ilvl="8" w:tplc="9D3233BC">
      <w:start w:val="1"/>
      <w:numFmt w:val="bullet"/>
      <w:lvlText w:val=""/>
      <w:lvlJc w:val="left"/>
      <w:pPr>
        <w:ind w:left="6840" w:hanging="360"/>
      </w:pPr>
      <w:rPr>
        <w:rFonts w:ascii="Wingdings" w:hAnsi="Wingdings" w:hint="default"/>
      </w:rPr>
    </w:lvl>
  </w:abstractNum>
  <w:abstractNum w:abstractNumId="4" w15:restartNumberingAfterBreak="0">
    <w:nsid w:val="134D359F"/>
    <w:multiLevelType w:val="hybridMultilevel"/>
    <w:tmpl w:val="39DE6C7E"/>
    <w:lvl w:ilvl="0" w:tplc="BC441E46">
      <w:start w:val="1"/>
      <w:numFmt w:val="bullet"/>
      <w:lvlText w:val=""/>
      <w:lvlJc w:val="left"/>
      <w:pPr>
        <w:ind w:left="720" w:hanging="360"/>
      </w:pPr>
      <w:rPr>
        <w:rFonts w:ascii="Symbol" w:hAnsi="Symbol" w:hint="default"/>
      </w:rPr>
    </w:lvl>
    <w:lvl w:ilvl="1" w:tplc="D8802202">
      <w:start w:val="1"/>
      <w:numFmt w:val="bullet"/>
      <w:lvlText w:val="o"/>
      <w:lvlJc w:val="left"/>
      <w:pPr>
        <w:ind w:left="1440" w:hanging="360"/>
      </w:pPr>
      <w:rPr>
        <w:rFonts w:ascii="Courier New" w:hAnsi="Courier New" w:hint="default"/>
      </w:rPr>
    </w:lvl>
    <w:lvl w:ilvl="2" w:tplc="0F048EA2">
      <w:start w:val="1"/>
      <w:numFmt w:val="bullet"/>
      <w:lvlText w:val=""/>
      <w:lvlJc w:val="left"/>
      <w:pPr>
        <w:ind w:left="2160" w:hanging="360"/>
      </w:pPr>
      <w:rPr>
        <w:rFonts w:ascii="Wingdings" w:hAnsi="Wingdings" w:hint="default"/>
      </w:rPr>
    </w:lvl>
    <w:lvl w:ilvl="3" w:tplc="54BC2122">
      <w:start w:val="1"/>
      <w:numFmt w:val="bullet"/>
      <w:lvlText w:val=""/>
      <w:lvlJc w:val="left"/>
      <w:pPr>
        <w:ind w:left="2880" w:hanging="360"/>
      </w:pPr>
      <w:rPr>
        <w:rFonts w:ascii="Symbol" w:hAnsi="Symbol" w:hint="default"/>
      </w:rPr>
    </w:lvl>
    <w:lvl w:ilvl="4" w:tplc="91561D42">
      <w:start w:val="1"/>
      <w:numFmt w:val="bullet"/>
      <w:lvlText w:val="o"/>
      <w:lvlJc w:val="left"/>
      <w:pPr>
        <w:ind w:left="3600" w:hanging="360"/>
      </w:pPr>
      <w:rPr>
        <w:rFonts w:ascii="Courier New" w:hAnsi="Courier New" w:hint="default"/>
      </w:rPr>
    </w:lvl>
    <w:lvl w:ilvl="5" w:tplc="E68C208E">
      <w:start w:val="1"/>
      <w:numFmt w:val="bullet"/>
      <w:lvlText w:val=""/>
      <w:lvlJc w:val="left"/>
      <w:pPr>
        <w:ind w:left="4320" w:hanging="360"/>
      </w:pPr>
      <w:rPr>
        <w:rFonts w:ascii="Wingdings" w:hAnsi="Wingdings" w:hint="default"/>
      </w:rPr>
    </w:lvl>
    <w:lvl w:ilvl="6" w:tplc="5510BED4">
      <w:start w:val="1"/>
      <w:numFmt w:val="bullet"/>
      <w:lvlText w:val=""/>
      <w:lvlJc w:val="left"/>
      <w:pPr>
        <w:ind w:left="5040" w:hanging="360"/>
      </w:pPr>
      <w:rPr>
        <w:rFonts w:ascii="Symbol" w:hAnsi="Symbol" w:hint="default"/>
      </w:rPr>
    </w:lvl>
    <w:lvl w:ilvl="7" w:tplc="3C96D6EC">
      <w:start w:val="1"/>
      <w:numFmt w:val="bullet"/>
      <w:lvlText w:val="o"/>
      <w:lvlJc w:val="left"/>
      <w:pPr>
        <w:ind w:left="5760" w:hanging="360"/>
      </w:pPr>
      <w:rPr>
        <w:rFonts w:ascii="Courier New" w:hAnsi="Courier New" w:hint="default"/>
      </w:rPr>
    </w:lvl>
    <w:lvl w:ilvl="8" w:tplc="C916C818">
      <w:start w:val="1"/>
      <w:numFmt w:val="bullet"/>
      <w:lvlText w:val=""/>
      <w:lvlJc w:val="left"/>
      <w:pPr>
        <w:ind w:left="6480" w:hanging="360"/>
      </w:pPr>
      <w:rPr>
        <w:rFonts w:ascii="Wingdings" w:hAnsi="Wingdings" w:hint="default"/>
      </w:rPr>
    </w:lvl>
  </w:abstractNum>
  <w:abstractNum w:abstractNumId="5" w15:restartNumberingAfterBreak="0">
    <w:nsid w:val="142E6F3B"/>
    <w:multiLevelType w:val="multilevel"/>
    <w:tmpl w:val="142E6F3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153E09E4"/>
    <w:multiLevelType w:val="hybridMultilevel"/>
    <w:tmpl w:val="DEDE7264"/>
    <w:lvl w:ilvl="0" w:tplc="0B122294">
      <w:start w:val="1"/>
      <w:numFmt w:val="bullet"/>
      <w:lvlText w:val=""/>
      <w:lvlJc w:val="left"/>
      <w:pPr>
        <w:ind w:left="720" w:hanging="360"/>
      </w:pPr>
      <w:rPr>
        <w:rFonts w:ascii="Symbol" w:hAnsi="Symbol" w:hint="default"/>
      </w:rPr>
    </w:lvl>
    <w:lvl w:ilvl="1" w:tplc="D060955A">
      <w:start w:val="1"/>
      <w:numFmt w:val="bullet"/>
      <w:lvlText w:val="o"/>
      <w:lvlJc w:val="left"/>
      <w:pPr>
        <w:ind w:left="1440" w:hanging="360"/>
      </w:pPr>
      <w:rPr>
        <w:rFonts w:ascii="Courier New" w:hAnsi="Courier New" w:hint="default"/>
      </w:rPr>
    </w:lvl>
    <w:lvl w:ilvl="2" w:tplc="4A16A2FC">
      <w:start w:val="1"/>
      <w:numFmt w:val="bullet"/>
      <w:lvlText w:val=""/>
      <w:lvlJc w:val="left"/>
      <w:pPr>
        <w:ind w:left="2160" w:hanging="360"/>
      </w:pPr>
      <w:rPr>
        <w:rFonts w:ascii="Wingdings" w:hAnsi="Wingdings" w:hint="default"/>
      </w:rPr>
    </w:lvl>
    <w:lvl w:ilvl="3" w:tplc="18EC6BD6">
      <w:start w:val="1"/>
      <w:numFmt w:val="bullet"/>
      <w:lvlText w:val=""/>
      <w:lvlJc w:val="left"/>
      <w:pPr>
        <w:ind w:left="2880" w:hanging="360"/>
      </w:pPr>
      <w:rPr>
        <w:rFonts w:ascii="Symbol" w:hAnsi="Symbol" w:hint="default"/>
      </w:rPr>
    </w:lvl>
    <w:lvl w:ilvl="4" w:tplc="86283C26">
      <w:start w:val="1"/>
      <w:numFmt w:val="bullet"/>
      <w:lvlText w:val="o"/>
      <w:lvlJc w:val="left"/>
      <w:pPr>
        <w:ind w:left="3600" w:hanging="360"/>
      </w:pPr>
      <w:rPr>
        <w:rFonts w:ascii="Courier New" w:hAnsi="Courier New" w:hint="default"/>
      </w:rPr>
    </w:lvl>
    <w:lvl w:ilvl="5" w:tplc="FD428062">
      <w:start w:val="1"/>
      <w:numFmt w:val="bullet"/>
      <w:lvlText w:val=""/>
      <w:lvlJc w:val="left"/>
      <w:pPr>
        <w:ind w:left="4320" w:hanging="360"/>
      </w:pPr>
      <w:rPr>
        <w:rFonts w:ascii="Wingdings" w:hAnsi="Wingdings" w:hint="default"/>
      </w:rPr>
    </w:lvl>
    <w:lvl w:ilvl="6" w:tplc="9968B42E">
      <w:start w:val="1"/>
      <w:numFmt w:val="bullet"/>
      <w:lvlText w:val=""/>
      <w:lvlJc w:val="left"/>
      <w:pPr>
        <w:ind w:left="5040" w:hanging="360"/>
      </w:pPr>
      <w:rPr>
        <w:rFonts w:ascii="Symbol" w:hAnsi="Symbol" w:hint="default"/>
      </w:rPr>
    </w:lvl>
    <w:lvl w:ilvl="7" w:tplc="D358952C">
      <w:start w:val="1"/>
      <w:numFmt w:val="bullet"/>
      <w:lvlText w:val="o"/>
      <w:lvlJc w:val="left"/>
      <w:pPr>
        <w:ind w:left="5760" w:hanging="360"/>
      </w:pPr>
      <w:rPr>
        <w:rFonts w:ascii="Courier New" w:hAnsi="Courier New" w:hint="default"/>
      </w:rPr>
    </w:lvl>
    <w:lvl w:ilvl="8" w:tplc="3E3E37F0">
      <w:start w:val="1"/>
      <w:numFmt w:val="bullet"/>
      <w:lvlText w:val=""/>
      <w:lvlJc w:val="left"/>
      <w:pPr>
        <w:ind w:left="6480" w:hanging="360"/>
      </w:pPr>
      <w:rPr>
        <w:rFonts w:ascii="Wingdings" w:hAnsi="Wingdings" w:hint="default"/>
      </w:rPr>
    </w:lvl>
  </w:abstractNum>
  <w:abstractNum w:abstractNumId="7" w15:restartNumberingAfterBreak="0">
    <w:nsid w:val="18F79428"/>
    <w:multiLevelType w:val="hybridMultilevel"/>
    <w:tmpl w:val="F20EA926"/>
    <w:lvl w:ilvl="0" w:tplc="BD342496">
      <w:start w:val="1"/>
      <w:numFmt w:val="decimal"/>
      <w:lvlText w:val="●"/>
      <w:lvlJc w:val="left"/>
      <w:pPr>
        <w:ind w:left="720" w:hanging="360"/>
      </w:pPr>
    </w:lvl>
    <w:lvl w:ilvl="1" w:tplc="F6547B34">
      <w:start w:val="1"/>
      <w:numFmt w:val="lowerLetter"/>
      <w:lvlText w:val="%2."/>
      <w:lvlJc w:val="left"/>
      <w:pPr>
        <w:ind w:left="1440" w:hanging="360"/>
      </w:pPr>
    </w:lvl>
    <w:lvl w:ilvl="2" w:tplc="0570038A">
      <w:start w:val="1"/>
      <w:numFmt w:val="lowerRoman"/>
      <w:lvlText w:val="%3."/>
      <w:lvlJc w:val="right"/>
      <w:pPr>
        <w:ind w:left="2160" w:hanging="180"/>
      </w:pPr>
    </w:lvl>
    <w:lvl w:ilvl="3" w:tplc="33D83FBC">
      <w:start w:val="1"/>
      <w:numFmt w:val="decimal"/>
      <w:lvlText w:val="%4."/>
      <w:lvlJc w:val="left"/>
      <w:pPr>
        <w:ind w:left="2880" w:hanging="360"/>
      </w:pPr>
    </w:lvl>
    <w:lvl w:ilvl="4" w:tplc="71AA20FA">
      <w:start w:val="1"/>
      <w:numFmt w:val="lowerLetter"/>
      <w:lvlText w:val="%5."/>
      <w:lvlJc w:val="left"/>
      <w:pPr>
        <w:ind w:left="3600" w:hanging="360"/>
      </w:pPr>
    </w:lvl>
    <w:lvl w:ilvl="5" w:tplc="70947808">
      <w:start w:val="1"/>
      <w:numFmt w:val="lowerRoman"/>
      <w:lvlText w:val="%6."/>
      <w:lvlJc w:val="right"/>
      <w:pPr>
        <w:ind w:left="4320" w:hanging="180"/>
      </w:pPr>
    </w:lvl>
    <w:lvl w:ilvl="6" w:tplc="5A886EF2">
      <w:start w:val="1"/>
      <w:numFmt w:val="decimal"/>
      <w:lvlText w:val="%7."/>
      <w:lvlJc w:val="left"/>
      <w:pPr>
        <w:ind w:left="5040" w:hanging="360"/>
      </w:pPr>
    </w:lvl>
    <w:lvl w:ilvl="7" w:tplc="9D4C0294">
      <w:start w:val="1"/>
      <w:numFmt w:val="lowerLetter"/>
      <w:lvlText w:val="%8."/>
      <w:lvlJc w:val="left"/>
      <w:pPr>
        <w:ind w:left="5760" w:hanging="360"/>
      </w:pPr>
    </w:lvl>
    <w:lvl w:ilvl="8" w:tplc="37C02DDC">
      <w:start w:val="1"/>
      <w:numFmt w:val="lowerRoman"/>
      <w:lvlText w:val="%9."/>
      <w:lvlJc w:val="right"/>
      <w:pPr>
        <w:ind w:left="6480" w:hanging="180"/>
      </w:pPr>
    </w:lvl>
  </w:abstractNum>
  <w:abstractNum w:abstractNumId="8" w15:restartNumberingAfterBreak="0">
    <w:nsid w:val="193E6948"/>
    <w:multiLevelType w:val="hybridMultilevel"/>
    <w:tmpl w:val="5A2CAC90"/>
    <w:lvl w:ilvl="0" w:tplc="9238ECA4">
      <w:start w:val="1"/>
      <w:numFmt w:val="bullet"/>
      <w:lvlText w:val=""/>
      <w:lvlJc w:val="left"/>
      <w:pPr>
        <w:ind w:left="720" w:hanging="360"/>
      </w:pPr>
      <w:rPr>
        <w:rFonts w:ascii="Symbol" w:hAnsi="Symbol" w:hint="default"/>
      </w:rPr>
    </w:lvl>
    <w:lvl w:ilvl="1" w:tplc="17EAB73E">
      <w:start w:val="1"/>
      <w:numFmt w:val="bullet"/>
      <w:lvlText w:val="o"/>
      <w:lvlJc w:val="left"/>
      <w:pPr>
        <w:ind w:left="1440" w:hanging="360"/>
      </w:pPr>
      <w:rPr>
        <w:rFonts w:ascii="Courier New" w:hAnsi="Courier New" w:hint="default"/>
      </w:rPr>
    </w:lvl>
    <w:lvl w:ilvl="2" w:tplc="45122AFE">
      <w:start w:val="1"/>
      <w:numFmt w:val="bullet"/>
      <w:lvlText w:val=""/>
      <w:lvlJc w:val="left"/>
      <w:pPr>
        <w:ind w:left="2160" w:hanging="360"/>
      </w:pPr>
      <w:rPr>
        <w:rFonts w:ascii="Wingdings" w:hAnsi="Wingdings" w:hint="default"/>
      </w:rPr>
    </w:lvl>
    <w:lvl w:ilvl="3" w:tplc="B23C1BF2">
      <w:start w:val="1"/>
      <w:numFmt w:val="bullet"/>
      <w:lvlText w:val=""/>
      <w:lvlJc w:val="left"/>
      <w:pPr>
        <w:ind w:left="2880" w:hanging="360"/>
      </w:pPr>
      <w:rPr>
        <w:rFonts w:ascii="Symbol" w:hAnsi="Symbol" w:hint="default"/>
      </w:rPr>
    </w:lvl>
    <w:lvl w:ilvl="4" w:tplc="59100F60">
      <w:start w:val="1"/>
      <w:numFmt w:val="bullet"/>
      <w:lvlText w:val="o"/>
      <w:lvlJc w:val="left"/>
      <w:pPr>
        <w:ind w:left="3600" w:hanging="360"/>
      </w:pPr>
      <w:rPr>
        <w:rFonts w:ascii="Courier New" w:hAnsi="Courier New" w:hint="default"/>
      </w:rPr>
    </w:lvl>
    <w:lvl w:ilvl="5" w:tplc="277416C8">
      <w:start w:val="1"/>
      <w:numFmt w:val="bullet"/>
      <w:lvlText w:val=""/>
      <w:lvlJc w:val="left"/>
      <w:pPr>
        <w:ind w:left="4320" w:hanging="360"/>
      </w:pPr>
      <w:rPr>
        <w:rFonts w:ascii="Wingdings" w:hAnsi="Wingdings" w:hint="default"/>
      </w:rPr>
    </w:lvl>
    <w:lvl w:ilvl="6" w:tplc="68D4F852">
      <w:start w:val="1"/>
      <w:numFmt w:val="bullet"/>
      <w:lvlText w:val=""/>
      <w:lvlJc w:val="left"/>
      <w:pPr>
        <w:ind w:left="5040" w:hanging="360"/>
      </w:pPr>
      <w:rPr>
        <w:rFonts w:ascii="Symbol" w:hAnsi="Symbol" w:hint="default"/>
      </w:rPr>
    </w:lvl>
    <w:lvl w:ilvl="7" w:tplc="0074BD42">
      <w:start w:val="1"/>
      <w:numFmt w:val="bullet"/>
      <w:lvlText w:val="o"/>
      <w:lvlJc w:val="left"/>
      <w:pPr>
        <w:ind w:left="5760" w:hanging="360"/>
      </w:pPr>
      <w:rPr>
        <w:rFonts w:ascii="Courier New" w:hAnsi="Courier New" w:hint="default"/>
      </w:rPr>
    </w:lvl>
    <w:lvl w:ilvl="8" w:tplc="0AB87D02">
      <w:start w:val="1"/>
      <w:numFmt w:val="bullet"/>
      <w:lvlText w:val=""/>
      <w:lvlJc w:val="left"/>
      <w:pPr>
        <w:ind w:left="6480" w:hanging="360"/>
      </w:pPr>
      <w:rPr>
        <w:rFonts w:ascii="Wingdings" w:hAnsi="Wingdings" w:hint="default"/>
      </w:rPr>
    </w:lvl>
  </w:abstractNum>
  <w:abstractNum w:abstractNumId="9" w15:restartNumberingAfterBreak="0">
    <w:nsid w:val="1A902F9E"/>
    <w:multiLevelType w:val="hybridMultilevel"/>
    <w:tmpl w:val="F50C75C0"/>
    <w:lvl w:ilvl="0" w:tplc="D24075DA">
      <w:start w:val="1"/>
      <w:numFmt w:val="bullet"/>
      <w:lvlText w:val=""/>
      <w:lvlJc w:val="left"/>
      <w:pPr>
        <w:ind w:left="720" w:hanging="360"/>
      </w:pPr>
      <w:rPr>
        <w:rFonts w:ascii="Symbol" w:hAnsi="Symbol" w:hint="default"/>
      </w:rPr>
    </w:lvl>
    <w:lvl w:ilvl="1" w:tplc="92CAF922">
      <w:start w:val="1"/>
      <w:numFmt w:val="bullet"/>
      <w:lvlText w:val="o"/>
      <w:lvlJc w:val="left"/>
      <w:pPr>
        <w:ind w:left="1440" w:hanging="360"/>
      </w:pPr>
      <w:rPr>
        <w:rFonts w:ascii="Courier New" w:hAnsi="Courier New" w:hint="default"/>
      </w:rPr>
    </w:lvl>
    <w:lvl w:ilvl="2" w:tplc="372AA0E2">
      <w:start w:val="1"/>
      <w:numFmt w:val="bullet"/>
      <w:lvlText w:val=""/>
      <w:lvlJc w:val="left"/>
      <w:pPr>
        <w:ind w:left="2160" w:hanging="360"/>
      </w:pPr>
      <w:rPr>
        <w:rFonts w:ascii="Wingdings" w:hAnsi="Wingdings" w:hint="default"/>
      </w:rPr>
    </w:lvl>
    <w:lvl w:ilvl="3" w:tplc="AD04EB10">
      <w:start w:val="1"/>
      <w:numFmt w:val="bullet"/>
      <w:lvlText w:val=""/>
      <w:lvlJc w:val="left"/>
      <w:pPr>
        <w:ind w:left="2880" w:hanging="360"/>
      </w:pPr>
      <w:rPr>
        <w:rFonts w:ascii="Symbol" w:hAnsi="Symbol" w:hint="default"/>
      </w:rPr>
    </w:lvl>
    <w:lvl w:ilvl="4" w:tplc="43CE84DE">
      <w:start w:val="1"/>
      <w:numFmt w:val="bullet"/>
      <w:lvlText w:val="o"/>
      <w:lvlJc w:val="left"/>
      <w:pPr>
        <w:ind w:left="3600" w:hanging="360"/>
      </w:pPr>
      <w:rPr>
        <w:rFonts w:ascii="Courier New" w:hAnsi="Courier New" w:hint="default"/>
      </w:rPr>
    </w:lvl>
    <w:lvl w:ilvl="5" w:tplc="B314834E">
      <w:start w:val="1"/>
      <w:numFmt w:val="bullet"/>
      <w:lvlText w:val=""/>
      <w:lvlJc w:val="left"/>
      <w:pPr>
        <w:ind w:left="4320" w:hanging="360"/>
      </w:pPr>
      <w:rPr>
        <w:rFonts w:ascii="Wingdings" w:hAnsi="Wingdings" w:hint="default"/>
      </w:rPr>
    </w:lvl>
    <w:lvl w:ilvl="6" w:tplc="AA783204">
      <w:start w:val="1"/>
      <w:numFmt w:val="bullet"/>
      <w:lvlText w:val=""/>
      <w:lvlJc w:val="left"/>
      <w:pPr>
        <w:ind w:left="5040" w:hanging="360"/>
      </w:pPr>
      <w:rPr>
        <w:rFonts w:ascii="Symbol" w:hAnsi="Symbol" w:hint="default"/>
      </w:rPr>
    </w:lvl>
    <w:lvl w:ilvl="7" w:tplc="1BFE415E">
      <w:start w:val="1"/>
      <w:numFmt w:val="bullet"/>
      <w:lvlText w:val="o"/>
      <w:lvlJc w:val="left"/>
      <w:pPr>
        <w:ind w:left="5760" w:hanging="360"/>
      </w:pPr>
      <w:rPr>
        <w:rFonts w:ascii="Courier New" w:hAnsi="Courier New" w:hint="default"/>
      </w:rPr>
    </w:lvl>
    <w:lvl w:ilvl="8" w:tplc="3AA2B1A8">
      <w:start w:val="1"/>
      <w:numFmt w:val="bullet"/>
      <w:lvlText w:val=""/>
      <w:lvlJc w:val="left"/>
      <w:pPr>
        <w:ind w:left="6480" w:hanging="360"/>
      </w:pPr>
      <w:rPr>
        <w:rFonts w:ascii="Wingdings" w:hAnsi="Wingdings" w:hint="default"/>
      </w:rPr>
    </w:lvl>
  </w:abstractNum>
  <w:abstractNum w:abstractNumId="10" w15:restartNumberingAfterBreak="0">
    <w:nsid w:val="1DD49DEE"/>
    <w:multiLevelType w:val="hybridMultilevel"/>
    <w:tmpl w:val="149ADAF0"/>
    <w:lvl w:ilvl="0" w:tplc="AFF26326">
      <w:start w:val="1"/>
      <w:numFmt w:val="decimal"/>
      <w:lvlText w:val="●"/>
      <w:lvlJc w:val="left"/>
      <w:pPr>
        <w:ind w:left="720" w:hanging="360"/>
      </w:pPr>
    </w:lvl>
    <w:lvl w:ilvl="1" w:tplc="45FAE01E">
      <w:start w:val="1"/>
      <w:numFmt w:val="lowerLetter"/>
      <w:lvlText w:val="%2."/>
      <w:lvlJc w:val="left"/>
      <w:pPr>
        <w:ind w:left="1440" w:hanging="360"/>
      </w:pPr>
    </w:lvl>
    <w:lvl w:ilvl="2" w:tplc="9486604C">
      <w:start w:val="1"/>
      <w:numFmt w:val="lowerRoman"/>
      <w:lvlText w:val="%3."/>
      <w:lvlJc w:val="right"/>
      <w:pPr>
        <w:ind w:left="2160" w:hanging="180"/>
      </w:pPr>
    </w:lvl>
    <w:lvl w:ilvl="3" w:tplc="C520FCAE">
      <w:start w:val="1"/>
      <w:numFmt w:val="decimal"/>
      <w:lvlText w:val="%4."/>
      <w:lvlJc w:val="left"/>
      <w:pPr>
        <w:ind w:left="2880" w:hanging="360"/>
      </w:pPr>
    </w:lvl>
    <w:lvl w:ilvl="4" w:tplc="3AB22562">
      <w:start w:val="1"/>
      <w:numFmt w:val="lowerLetter"/>
      <w:lvlText w:val="%5."/>
      <w:lvlJc w:val="left"/>
      <w:pPr>
        <w:ind w:left="3600" w:hanging="360"/>
      </w:pPr>
    </w:lvl>
    <w:lvl w:ilvl="5" w:tplc="6270BD9C">
      <w:start w:val="1"/>
      <w:numFmt w:val="lowerRoman"/>
      <w:lvlText w:val="%6."/>
      <w:lvlJc w:val="right"/>
      <w:pPr>
        <w:ind w:left="4320" w:hanging="180"/>
      </w:pPr>
    </w:lvl>
    <w:lvl w:ilvl="6" w:tplc="89C4AD56">
      <w:start w:val="1"/>
      <w:numFmt w:val="decimal"/>
      <w:lvlText w:val="%7."/>
      <w:lvlJc w:val="left"/>
      <w:pPr>
        <w:ind w:left="5040" w:hanging="360"/>
      </w:pPr>
    </w:lvl>
    <w:lvl w:ilvl="7" w:tplc="4FCE1ECA">
      <w:start w:val="1"/>
      <w:numFmt w:val="lowerLetter"/>
      <w:lvlText w:val="%8."/>
      <w:lvlJc w:val="left"/>
      <w:pPr>
        <w:ind w:left="5760" w:hanging="360"/>
      </w:pPr>
    </w:lvl>
    <w:lvl w:ilvl="8" w:tplc="97587B78">
      <w:start w:val="1"/>
      <w:numFmt w:val="lowerRoman"/>
      <w:lvlText w:val="%9."/>
      <w:lvlJc w:val="right"/>
      <w:pPr>
        <w:ind w:left="6480" w:hanging="180"/>
      </w:pPr>
    </w:lvl>
  </w:abstractNum>
  <w:abstractNum w:abstractNumId="11" w15:restartNumberingAfterBreak="0">
    <w:nsid w:val="22F85E4C"/>
    <w:multiLevelType w:val="hybridMultilevel"/>
    <w:tmpl w:val="65FE624E"/>
    <w:lvl w:ilvl="0" w:tplc="A9E09E38">
      <w:start w:val="1"/>
      <w:numFmt w:val="bullet"/>
      <w:lvlText w:val="·"/>
      <w:lvlJc w:val="left"/>
      <w:pPr>
        <w:ind w:left="720" w:hanging="360"/>
      </w:pPr>
      <w:rPr>
        <w:rFonts w:ascii="Symbol" w:hAnsi="Symbol" w:hint="default"/>
      </w:rPr>
    </w:lvl>
    <w:lvl w:ilvl="1" w:tplc="7384EC0E">
      <w:start w:val="1"/>
      <w:numFmt w:val="bullet"/>
      <w:lvlText w:val="o"/>
      <w:lvlJc w:val="left"/>
      <w:pPr>
        <w:ind w:left="1440" w:hanging="360"/>
      </w:pPr>
      <w:rPr>
        <w:rFonts w:ascii="Courier New" w:hAnsi="Courier New" w:hint="default"/>
      </w:rPr>
    </w:lvl>
    <w:lvl w:ilvl="2" w:tplc="788AC7BE">
      <w:start w:val="1"/>
      <w:numFmt w:val="bullet"/>
      <w:lvlText w:val=""/>
      <w:lvlJc w:val="left"/>
      <w:pPr>
        <w:ind w:left="2160" w:hanging="360"/>
      </w:pPr>
      <w:rPr>
        <w:rFonts w:ascii="Wingdings" w:hAnsi="Wingdings" w:hint="default"/>
      </w:rPr>
    </w:lvl>
    <w:lvl w:ilvl="3" w:tplc="36388668">
      <w:start w:val="1"/>
      <w:numFmt w:val="bullet"/>
      <w:lvlText w:val=""/>
      <w:lvlJc w:val="left"/>
      <w:pPr>
        <w:ind w:left="2880" w:hanging="360"/>
      </w:pPr>
      <w:rPr>
        <w:rFonts w:ascii="Symbol" w:hAnsi="Symbol" w:hint="default"/>
      </w:rPr>
    </w:lvl>
    <w:lvl w:ilvl="4" w:tplc="AA10B020">
      <w:start w:val="1"/>
      <w:numFmt w:val="bullet"/>
      <w:lvlText w:val="o"/>
      <w:lvlJc w:val="left"/>
      <w:pPr>
        <w:ind w:left="3600" w:hanging="360"/>
      </w:pPr>
      <w:rPr>
        <w:rFonts w:ascii="Courier New" w:hAnsi="Courier New" w:hint="default"/>
      </w:rPr>
    </w:lvl>
    <w:lvl w:ilvl="5" w:tplc="5F129254">
      <w:start w:val="1"/>
      <w:numFmt w:val="bullet"/>
      <w:lvlText w:val=""/>
      <w:lvlJc w:val="left"/>
      <w:pPr>
        <w:ind w:left="4320" w:hanging="360"/>
      </w:pPr>
      <w:rPr>
        <w:rFonts w:ascii="Wingdings" w:hAnsi="Wingdings" w:hint="default"/>
      </w:rPr>
    </w:lvl>
    <w:lvl w:ilvl="6" w:tplc="3D30D79E">
      <w:start w:val="1"/>
      <w:numFmt w:val="bullet"/>
      <w:lvlText w:val=""/>
      <w:lvlJc w:val="left"/>
      <w:pPr>
        <w:ind w:left="5040" w:hanging="360"/>
      </w:pPr>
      <w:rPr>
        <w:rFonts w:ascii="Symbol" w:hAnsi="Symbol" w:hint="default"/>
      </w:rPr>
    </w:lvl>
    <w:lvl w:ilvl="7" w:tplc="884E940C">
      <w:start w:val="1"/>
      <w:numFmt w:val="bullet"/>
      <w:lvlText w:val="o"/>
      <w:lvlJc w:val="left"/>
      <w:pPr>
        <w:ind w:left="5760" w:hanging="360"/>
      </w:pPr>
      <w:rPr>
        <w:rFonts w:ascii="Courier New" w:hAnsi="Courier New" w:hint="default"/>
      </w:rPr>
    </w:lvl>
    <w:lvl w:ilvl="8" w:tplc="2D58F33E">
      <w:start w:val="1"/>
      <w:numFmt w:val="bullet"/>
      <w:lvlText w:val=""/>
      <w:lvlJc w:val="left"/>
      <w:pPr>
        <w:ind w:left="6480" w:hanging="360"/>
      </w:pPr>
      <w:rPr>
        <w:rFonts w:ascii="Wingdings" w:hAnsi="Wingdings" w:hint="default"/>
      </w:rPr>
    </w:lvl>
  </w:abstractNum>
  <w:abstractNum w:abstractNumId="12" w15:restartNumberingAfterBreak="0">
    <w:nsid w:val="276FA796"/>
    <w:multiLevelType w:val="hybridMultilevel"/>
    <w:tmpl w:val="EE5E19E6"/>
    <w:lvl w:ilvl="0" w:tplc="EF961630">
      <w:start w:val="1"/>
      <w:numFmt w:val="bullet"/>
      <w:lvlText w:val=""/>
      <w:lvlJc w:val="left"/>
      <w:pPr>
        <w:ind w:left="720" w:hanging="360"/>
      </w:pPr>
      <w:rPr>
        <w:rFonts w:ascii="Symbol" w:hAnsi="Symbol" w:hint="default"/>
      </w:rPr>
    </w:lvl>
    <w:lvl w:ilvl="1" w:tplc="A7FA9E48">
      <w:start w:val="1"/>
      <w:numFmt w:val="bullet"/>
      <w:lvlText w:val="o"/>
      <w:lvlJc w:val="left"/>
      <w:pPr>
        <w:ind w:left="1440" w:hanging="360"/>
      </w:pPr>
      <w:rPr>
        <w:rFonts w:ascii="Courier New" w:hAnsi="Courier New" w:hint="default"/>
      </w:rPr>
    </w:lvl>
    <w:lvl w:ilvl="2" w:tplc="99561028">
      <w:start w:val="1"/>
      <w:numFmt w:val="bullet"/>
      <w:lvlText w:val=""/>
      <w:lvlJc w:val="left"/>
      <w:pPr>
        <w:ind w:left="2160" w:hanging="360"/>
      </w:pPr>
      <w:rPr>
        <w:rFonts w:ascii="Wingdings" w:hAnsi="Wingdings" w:hint="default"/>
      </w:rPr>
    </w:lvl>
    <w:lvl w:ilvl="3" w:tplc="0CB27F98">
      <w:start w:val="1"/>
      <w:numFmt w:val="bullet"/>
      <w:lvlText w:val=""/>
      <w:lvlJc w:val="left"/>
      <w:pPr>
        <w:ind w:left="2880" w:hanging="360"/>
      </w:pPr>
      <w:rPr>
        <w:rFonts w:ascii="Symbol" w:hAnsi="Symbol" w:hint="default"/>
      </w:rPr>
    </w:lvl>
    <w:lvl w:ilvl="4" w:tplc="67746928">
      <w:start w:val="1"/>
      <w:numFmt w:val="bullet"/>
      <w:lvlText w:val="o"/>
      <w:lvlJc w:val="left"/>
      <w:pPr>
        <w:ind w:left="3600" w:hanging="360"/>
      </w:pPr>
      <w:rPr>
        <w:rFonts w:ascii="Courier New" w:hAnsi="Courier New" w:hint="default"/>
      </w:rPr>
    </w:lvl>
    <w:lvl w:ilvl="5" w:tplc="9D5C4A24">
      <w:start w:val="1"/>
      <w:numFmt w:val="bullet"/>
      <w:lvlText w:val=""/>
      <w:lvlJc w:val="left"/>
      <w:pPr>
        <w:ind w:left="4320" w:hanging="360"/>
      </w:pPr>
      <w:rPr>
        <w:rFonts w:ascii="Wingdings" w:hAnsi="Wingdings" w:hint="default"/>
      </w:rPr>
    </w:lvl>
    <w:lvl w:ilvl="6" w:tplc="C89CAAA8">
      <w:start w:val="1"/>
      <w:numFmt w:val="bullet"/>
      <w:lvlText w:val=""/>
      <w:lvlJc w:val="left"/>
      <w:pPr>
        <w:ind w:left="5040" w:hanging="360"/>
      </w:pPr>
      <w:rPr>
        <w:rFonts w:ascii="Symbol" w:hAnsi="Symbol" w:hint="default"/>
      </w:rPr>
    </w:lvl>
    <w:lvl w:ilvl="7" w:tplc="6E1A3DD0">
      <w:start w:val="1"/>
      <w:numFmt w:val="bullet"/>
      <w:lvlText w:val="o"/>
      <w:lvlJc w:val="left"/>
      <w:pPr>
        <w:ind w:left="5760" w:hanging="360"/>
      </w:pPr>
      <w:rPr>
        <w:rFonts w:ascii="Courier New" w:hAnsi="Courier New" w:hint="default"/>
      </w:rPr>
    </w:lvl>
    <w:lvl w:ilvl="8" w:tplc="C9A09B68">
      <w:start w:val="1"/>
      <w:numFmt w:val="bullet"/>
      <w:lvlText w:val=""/>
      <w:lvlJc w:val="left"/>
      <w:pPr>
        <w:ind w:left="6480" w:hanging="360"/>
      </w:pPr>
      <w:rPr>
        <w:rFonts w:ascii="Wingdings" w:hAnsi="Wingdings" w:hint="default"/>
      </w:rPr>
    </w:lvl>
  </w:abstractNum>
  <w:abstractNum w:abstractNumId="13" w15:restartNumberingAfterBreak="0">
    <w:nsid w:val="280C0574"/>
    <w:multiLevelType w:val="hybridMultilevel"/>
    <w:tmpl w:val="A510E3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BE1D29D"/>
    <w:multiLevelType w:val="hybridMultilevel"/>
    <w:tmpl w:val="2446F7C8"/>
    <w:lvl w:ilvl="0" w:tplc="36F0E866">
      <w:start w:val="1"/>
      <w:numFmt w:val="bullet"/>
      <w:lvlText w:val=""/>
      <w:lvlJc w:val="left"/>
      <w:pPr>
        <w:ind w:left="720" w:hanging="360"/>
      </w:pPr>
      <w:rPr>
        <w:rFonts w:ascii="Symbol" w:hAnsi="Symbol" w:hint="default"/>
      </w:rPr>
    </w:lvl>
    <w:lvl w:ilvl="1" w:tplc="4B821C98">
      <w:start w:val="1"/>
      <w:numFmt w:val="bullet"/>
      <w:lvlText w:val="o"/>
      <w:lvlJc w:val="left"/>
      <w:pPr>
        <w:ind w:left="1440" w:hanging="360"/>
      </w:pPr>
      <w:rPr>
        <w:rFonts w:ascii="Courier New" w:hAnsi="Courier New" w:hint="default"/>
      </w:rPr>
    </w:lvl>
    <w:lvl w:ilvl="2" w:tplc="354AA926">
      <w:start w:val="1"/>
      <w:numFmt w:val="bullet"/>
      <w:lvlText w:val=""/>
      <w:lvlJc w:val="left"/>
      <w:pPr>
        <w:ind w:left="2160" w:hanging="360"/>
      </w:pPr>
      <w:rPr>
        <w:rFonts w:ascii="Wingdings" w:hAnsi="Wingdings" w:hint="default"/>
      </w:rPr>
    </w:lvl>
    <w:lvl w:ilvl="3" w:tplc="92182720">
      <w:start w:val="1"/>
      <w:numFmt w:val="bullet"/>
      <w:lvlText w:val=""/>
      <w:lvlJc w:val="left"/>
      <w:pPr>
        <w:ind w:left="2880" w:hanging="360"/>
      </w:pPr>
      <w:rPr>
        <w:rFonts w:ascii="Symbol" w:hAnsi="Symbol" w:hint="default"/>
      </w:rPr>
    </w:lvl>
    <w:lvl w:ilvl="4" w:tplc="44A6EAE6">
      <w:start w:val="1"/>
      <w:numFmt w:val="bullet"/>
      <w:lvlText w:val="o"/>
      <w:lvlJc w:val="left"/>
      <w:pPr>
        <w:ind w:left="3600" w:hanging="360"/>
      </w:pPr>
      <w:rPr>
        <w:rFonts w:ascii="Courier New" w:hAnsi="Courier New" w:hint="default"/>
      </w:rPr>
    </w:lvl>
    <w:lvl w:ilvl="5" w:tplc="2370D028">
      <w:start w:val="1"/>
      <w:numFmt w:val="bullet"/>
      <w:lvlText w:val=""/>
      <w:lvlJc w:val="left"/>
      <w:pPr>
        <w:ind w:left="4320" w:hanging="360"/>
      </w:pPr>
      <w:rPr>
        <w:rFonts w:ascii="Wingdings" w:hAnsi="Wingdings" w:hint="default"/>
      </w:rPr>
    </w:lvl>
    <w:lvl w:ilvl="6" w:tplc="1C66F086">
      <w:start w:val="1"/>
      <w:numFmt w:val="bullet"/>
      <w:lvlText w:val=""/>
      <w:lvlJc w:val="left"/>
      <w:pPr>
        <w:ind w:left="5040" w:hanging="360"/>
      </w:pPr>
      <w:rPr>
        <w:rFonts w:ascii="Symbol" w:hAnsi="Symbol" w:hint="default"/>
      </w:rPr>
    </w:lvl>
    <w:lvl w:ilvl="7" w:tplc="E208F088">
      <w:start w:val="1"/>
      <w:numFmt w:val="bullet"/>
      <w:lvlText w:val="o"/>
      <w:lvlJc w:val="left"/>
      <w:pPr>
        <w:ind w:left="5760" w:hanging="360"/>
      </w:pPr>
      <w:rPr>
        <w:rFonts w:ascii="Courier New" w:hAnsi="Courier New" w:hint="default"/>
      </w:rPr>
    </w:lvl>
    <w:lvl w:ilvl="8" w:tplc="28EE9DBE">
      <w:start w:val="1"/>
      <w:numFmt w:val="bullet"/>
      <w:lvlText w:val=""/>
      <w:lvlJc w:val="left"/>
      <w:pPr>
        <w:ind w:left="6480" w:hanging="360"/>
      </w:pPr>
      <w:rPr>
        <w:rFonts w:ascii="Wingdings" w:hAnsi="Wingdings" w:hint="default"/>
      </w:rPr>
    </w:lvl>
  </w:abstractNum>
  <w:abstractNum w:abstractNumId="15" w15:restartNumberingAfterBreak="0">
    <w:nsid w:val="2DA2DA78"/>
    <w:multiLevelType w:val="hybridMultilevel"/>
    <w:tmpl w:val="CBDAFCB4"/>
    <w:lvl w:ilvl="0" w:tplc="3BAA646E">
      <w:start w:val="1"/>
      <w:numFmt w:val="bullet"/>
      <w:lvlText w:val=""/>
      <w:lvlJc w:val="left"/>
      <w:pPr>
        <w:ind w:left="720" w:hanging="360"/>
      </w:pPr>
      <w:rPr>
        <w:rFonts w:ascii="Symbol" w:hAnsi="Symbol" w:hint="default"/>
      </w:rPr>
    </w:lvl>
    <w:lvl w:ilvl="1" w:tplc="65780764">
      <w:start w:val="1"/>
      <w:numFmt w:val="bullet"/>
      <w:lvlText w:val="o"/>
      <w:lvlJc w:val="left"/>
      <w:pPr>
        <w:ind w:left="1440" w:hanging="360"/>
      </w:pPr>
      <w:rPr>
        <w:rFonts w:ascii="Courier New" w:hAnsi="Courier New" w:hint="default"/>
      </w:rPr>
    </w:lvl>
    <w:lvl w:ilvl="2" w:tplc="E83267BA">
      <w:start w:val="1"/>
      <w:numFmt w:val="bullet"/>
      <w:lvlText w:val=""/>
      <w:lvlJc w:val="left"/>
      <w:pPr>
        <w:ind w:left="2160" w:hanging="360"/>
      </w:pPr>
      <w:rPr>
        <w:rFonts w:ascii="Wingdings" w:hAnsi="Wingdings" w:hint="default"/>
      </w:rPr>
    </w:lvl>
    <w:lvl w:ilvl="3" w:tplc="A4E206CA">
      <w:start w:val="1"/>
      <w:numFmt w:val="bullet"/>
      <w:lvlText w:val=""/>
      <w:lvlJc w:val="left"/>
      <w:pPr>
        <w:ind w:left="2880" w:hanging="360"/>
      </w:pPr>
      <w:rPr>
        <w:rFonts w:ascii="Symbol" w:hAnsi="Symbol" w:hint="default"/>
      </w:rPr>
    </w:lvl>
    <w:lvl w:ilvl="4" w:tplc="CF966A42">
      <w:start w:val="1"/>
      <w:numFmt w:val="bullet"/>
      <w:lvlText w:val="o"/>
      <w:lvlJc w:val="left"/>
      <w:pPr>
        <w:ind w:left="3600" w:hanging="360"/>
      </w:pPr>
      <w:rPr>
        <w:rFonts w:ascii="Courier New" w:hAnsi="Courier New" w:hint="default"/>
      </w:rPr>
    </w:lvl>
    <w:lvl w:ilvl="5" w:tplc="CE46CCD6">
      <w:start w:val="1"/>
      <w:numFmt w:val="bullet"/>
      <w:lvlText w:val=""/>
      <w:lvlJc w:val="left"/>
      <w:pPr>
        <w:ind w:left="4320" w:hanging="360"/>
      </w:pPr>
      <w:rPr>
        <w:rFonts w:ascii="Wingdings" w:hAnsi="Wingdings" w:hint="default"/>
      </w:rPr>
    </w:lvl>
    <w:lvl w:ilvl="6" w:tplc="B69AD57A">
      <w:start w:val="1"/>
      <w:numFmt w:val="bullet"/>
      <w:lvlText w:val=""/>
      <w:lvlJc w:val="left"/>
      <w:pPr>
        <w:ind w:left="5040" w:hanging="360"/>
      </w:pPr>
      <w:rPr>
        <w:rFonts w:ascii="Symbol" w:hAnsi="Symbol" w:hint="default"/>
      </w:rPr>
    </w:lvl>
    <w:lvl w:ilvl="7" w:tplc="26FABD06">
      <w:start w:val="1"/>
      <w:numFmt w:val="bullet"/>
      <w:lvlText w:val="o"/>
      <w:lvlJc w:val="left"/>
      <w:pPr>
        <w:ind w:left="5760" w:hanging="360"/>
      </w:pPr>
      <w:rPr>
        <w:rFonts w:ascii="Courier New" w:hAnsi="Courier New" w:hint="default"/>
      </w:rPr>
    </w:lvl>
    <w:lvl w:ilvl="8" w:tplc="4A5C0F62">
      <w:start w:val="1"/>
      <w:numFmt w:val="bullet"/>
      <w:lvlText w:val=""/>
      <w:lvlJc w:val="left"/>
      <w:pPr>
        <w:ind w:left="6480" w:hanging="360"/>
      </w:pPr>
      <w:rPr>
        <w:rFonts w:ascii="Wingdings" w:hAnsi="Wingdings" w:hint="default"/>
      </w:rPr>
    </w:lvl>
  </w:abstractNum>
  <w:abstractNum w:abstractNumId="16" w15:restartNumberingAfterBreak="0">
    <w:nsid w:val="309C1340"/>
    <w:multiLevelType w:val="multilevel"/>
    <w:tmpl w:val="309C13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30CB40E"/>
    <w:multiLevelType w:val="hybridMultilevel"/>
    <w:tmpl w:val="E918F7F8"/>
    <w:lvl w:ilvl="0" w:tplc="97702522">
      <w:start w:val="2"/>
      <w:numFmt w:val="decimal"/>
      <w:lvlText w:val="%1."/>
      <w:lvlJc w:val="left"/>
      <w:pPr>
        <w:ind w:left="720" w:hanging="360"/>
      </w:pPr>
    </w:lvl>
    <w:lvl w:ilvl="1" w:tplc="05A02A4E">
      <w:start w:val="1"/>
      <w:numFmt w:val="lowerLetter"/>
      <w:lvlText w:val="%2."/>
      <w:lvlJc w:val="left"/>
      <w:pPr>
        <w:ind w:left="1440" w:hanging="360"/>
      </w:pPr>
    </w:lvl>
    <w:lvl w:ilvl="2" w:tplc="48F40970">
      <w:start w:val="1"/>
      <w:numFmt w:val="lowerRoman"/>
      <w:lvlText w:val="%3."/>
      <w:lvlJc w:val="right"/>
      <w:pPr>
        <w:ind w:left="2160" w:hanging="180"/>
      </w:pPr>
    </w:lvl>
    <w:lvl w:ilvl="3" w:tplc="87A69358">
      <w:start w:val="1"/>
      <w:numFmt w:val="decimal"/>
      <w:lvlText w:val="%4."/>
      <w:lvlJc w:val="left"/>
      <w:pPr>
        <w:ind w:left="2880" w:hanging="360"/>
      </w:pPr>
    </w:lvl>
    <w:lvl w:ilvl="4" w:tplc="312480CE">
      <w:start w:val="1"/>
      <w:numFmt w:val="lowerLetter"/>
      <w:lvlText w:val="%5."/>
      <w:lvlJc w:val="left"/>
      <w:pPr>
        <w:ind w:left="3600" w:hanging="360"/>
      </w:pPr>
    </w:lvl>
    <w:lvl w:ilvl="5" w:tplc="D124FECC">
      <w:start w:val="1"/>
      <w:numFmt w:val="lowerRoman"/>
      <w:lvlText w:val="%6."/>
      <w:lvlJc w:val="right"/>
      <w:pPr>
        <w:ind w:left="4320" w:hanging="180"/>
      </w:pPr>
    </w:lvl>
    <w:lvl w:ilvl="6" w:tplc="6850553A">
      <w:start w:val="1"/>
      <w:numFmt w:val="decimal"/>
      <w:lvlText w:val="%7."/>
      <w:lvlJc w:val="left"/>
      <w:pPr>
        <w:ind w:left="5040" w:hanging="360"/>
      </w:pPr>
    </w:lvl>
    <w:lvl w:ilvl="7" w:tplc="22F09E12">
      <w:start w:val="1"/>
      <w:numFmt w:val="lowerLetter"/>
      <w:lvlText w:val="%8."/>
      <w:lvlJc w:val="left"/>
      <w:pPr>
        <w:ind w:left="5760" w:hanging="360"/>
      </w:pPr>
    </w:lvl>
    <w:lvl w:ilvl="8" w:tplc="A3EC3976">
      <w:start w:val="1"/>
      <w:numFmt w:val="lowerRoman"/>
      <w:lvlText w:val="%9."/>
      <w:lvlJc w:val="right"/>
      <w:pPr>
        <w:ind w:left="6480" w:hanging="180"/>
      </w:pPr>
    </w:lvl>
  </w:abstractNum>
  <w:abstractNum w:abstractNumId="18" w15:restartNumberingAfterBreak="0">
    <w:nsid w:val="339DD499"/>
    <w:multiLevelType w:val="hybridMultilevel"/>
    <w:tmpl w:val="FAF64238"/>
    <w:lvl w:ilvl="0" w:tplc="F0ACA158">
      <w:start w:val="1"/>
      <w:numFmt w:val="bullet"/>
      <w:lvlText w:val="·"/>
      <w:lvlJc w:val="left"/>
      <w:pPr>
        <w:ind w:left="720" w:hanging="360"/>
      </w:pPr>
      <w:rPr>
        <w:rFonts w:ascii="Symbol" w:hAnsi="Symbol" w:hint="default"/>
      </w:rPr>
    </w:lvl>
    <w:lvl w:ilvl="1" w:tplc="3858FCFA">
      <w:start w:val="1"/>
      <w:numFmt w:val="bullet"/>
      <w:lvlText w:val="o"/>
      <w:lvlJc w:val="left"/>
      <w:pPr>
        <w:ind w:left="1440" w:hanging="360"/>
      </w:pPr>
      <w:rPr>
        <w:rFonts w:ascii="Courier New" w:hAnsi="Courier New" w:hint="default"/>
      </w:rPr>
    </w:lvl>
    <w:lvl w:ilvl="2" w:tplc="CF30F23C">
      <w:start w:val="1"/>
      <w:numFmt w:val="bullet"/>
      <w:lvlText w:val=""/>
      <w:lvlJc w:val="left"/>
      <w:pPr>
        <w:ind w:left="2160" w:hanging="360"/>
      </w:pPr>
      <w:rPr>
        <w:rFonts w:ascii="Wingdings" w:hAnsi="Wingdings" w:hint="default"/>
      </w:rPr>
    </w:lvl>
    <w:lvl w:ilvl="3" w:tplc="985EC26A">
      <w:start w:val="1"/>
      <w:numFmt w:val="bullet"/>
      <w:lvlText w:val=""/>
      <w:lvlJc w:val="left"/>
      <w:pPr>
        <w:ind w:left="2880" w:hanging="360"/>
      </w:pPr>
      <w:rPr>
        <w:rFonts w:ascii="Symbol" w:hAnsi="Symbol" w:hint="default"/>
      </w:rPr>
    </w:lvl>
    <w:lvl w:ilvl="4" w:tplc="FCFE4386">
      <w:start w:val="1"/>
      <w:numFmt w:val="bullet"/>
      <w:lvlText w:val="o"/>
      <w:lvlJc w:val="left"/>
      <w:pPr>
        <w:ind w:left="3600" w:hanging="360"/>
      </w:pPr>
      <w:rPr>
        <w:rFonts w:ascii="Courier New" w:hAnsi="Courier New" w:hint="default"/>
      </w:rPr>
    </w:lvl>
    <w:lvl w:ilvl="5" w:tplc="E03E498E">
      <w:start w:val="1"/>
      <w:numFmt w:val="bullet"/>
      <w:lvlText w:val=""/>
      <w:lvlJc w:val="left"/>
      <w:pPr>
        <w:ind w:left="4320" w:hanging="360"/>
      </w:pPr>
      <w:rPr>
        <w:rFonts w:ascii="Wingdings" w:hAnsi="Wingdings" w:hint="default"/>
      </w:rPr>
    </w:lvl>
    <w:lvl w:ilvl="6" w:tplc="5C6E4E14">
      <w:start w:val="1"/>
      <w:numFmt w:val="bullet"/>
      <w:lvlText w:val=""/>
      <w:lvlJc w:val="left"/>
      <w:pPr>
        <w:ind w:left="5040" w:hanging="360"/>
      </w:pPr>
      <w:rPr>
        <w:rFonts w:ascii="Symbol" w:hAnsi="Symbol" w:hint="default"/>
      </w:rPr>
    </w:lvl>
    <w:lvl w:ilvl="7" w:tplc="D9F40F06">
      <w:start w:val="1"/>
      <w:numFmt w:val="bullet"/>
      <w:lvlText w:val="o"/>
      <w:lvlJc w:val="left"/>
      <w:pPr>
        <w:ind w:left="5760" w:hanging="360"/>
      </w:pPr>
      <w:rPr>
        <w:rFonts w:ascii="Courier New" w:hAnsi="Courier New" w:hint="default"/>
      </w:rPr>
    </w:lvl>
    <w:lvl w:ilvl="8" w:tplc="DAA8089E">
      <w:start w:val="1"/>
      <w:numFmt w:val="bullet"/>
      <w:lvlText w:val=""/>
      <w:lvlJc w:val="left"/>
      <w:pPr>
        <w:ind w:left="6480" w:hanging="360"/>
      </w:pPr>
      <w:rPr>
        <w:rFonts w:ascii="Wingdings" w:hAnsi="Wingdings" w:hint="default"/>
      </w:rPr>
    </w:lvl>
  </w:abstractNum>
  <w:abstractNum w:abstractNumId="19" w15:restartNumberingAfterBreak="0">
    <w:nsid w:val="37C95DCB"/>
    <w:multiLevelType w:val="multilevel"/>
    <w:tmpl w:val="108C3FEC"/>
    <w:lvl w:ilvl="0">
      <w:start w:val="1"/>
      <w:numFmt w:val="decimal"/>
      <w:lvlText w:val="%1"/>
      <w:lvlJc w:val="left"/>
      <w:pPr>
        <w:ind w:left="540" w:hanging="540"/>
      </w:pPr>
      <w:rPr>
        <w:rFonts w:hint="default"/>
      </w:rPr>
    </w:lvl>
    <w:lvl w:ilvl="1">
      <w:start w:val="6"/>
      <w:numFmt w:val="decimal"/>
      <w:lvlText w:val="%1.%2"/>
      <w:lvlJc w:val="left"/>
      <w:pPr>
        <w:ind w:left="753" w:hanging="54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504" w:hanging="1800"/>
      </w:pPr>
      <w:rPr>
        <w:rFonts w:hint="default"/>
      </w:rPr>
    </w:lvl>
  </w:abstractNum>
  <w:abstractNum w:abstractNumId="20" w15:restartNumberingAfterBreak="0">
    <w:nsid w:val="38D940C2"/>
    <w:multiLevelType w:val="hybridMultilevel"/>
    <w:tmpl w:val="39167A68"/>
    <w:lvl w:ilvl="0" w:tplc="8DC8A4BE">
      <w:start w:val="1"/>
      <w:numFmt w:val="bullet"/>
      <w:lvlText w:val=""/>
      <w:lvlJc w:val="left"/>
      <w:pPr>
        <w:ind w:left="720" w:hanging="360"/>
      </w:pPr>
      <w:rPr>
        <w:rFonts w:ascii="Symbol" w:hAnsi="Symbol" w:hint="default"/>
      </w:rPr>
    </w:lvl>
    <w:lvl w:ilvl="1" w:tplc="81447B14">
      <w:start w:val="1"/>
      <w:numFmt w:val="bullet"/>
      <w:lvlText w:val="o"/>
      <w:lvlJc w:val="left"/>
      <w:pPr>
        <w:ind w:left="1440" w:hanging="360"/>
      </w:pPr>
      <w:rPr>
        <w:rFonts w:ascii="Courier New" w:hAnsi="Courier New" w:hint="default"/>
      </w:rPr>
    </w:lvl>
    <w:lvl w:ilvl="2" w:tplc="0EC4DAA6">
      <w:start w:val="1"/>
      <w:numFmt w:val="bullet"/>
      <w:lvlText w:val=""/>
      <w:lvlJc w:val="left"/>
      <w:pPr>
        <w:ind w:left="2160" w:hanging="360"/>
      </w:pPr>
      <w:rPr>
        <w:rFonts w:ascii="Wingdings" w:hAnsi="Wingdings" w:hint="default"/>
      </w:rPr>
    </w:lvl>
    <w:lvl w:ilvl="3" w:tplc="9A94BE04">
      <w:start w:val="1"/>
      <w:numFmt w:val="bullet"/>
      <w:lvlText w:val=""/>
      <w:lvlJc w:val="left"/>
      <w:pPr>
        <w:ind w:left="2880" w:hanging="360"/>
      </w:pPr>
      <w:rPr>
        <w:rFonts w:ascii="Symbol" w:hAnsi="Symbol" w:hint="default"/>
      </w:rPr>
    </w:lvl>
    <w:lvl w:ilvl="4" w:tplc="48BEFFA2">
      <w:start w:val="1"/>
      <w:numFmt w:val="bullet"/>
      <w:lvlText w:val="o"/>
      <w:lvlJc w:val="left"/>
      <w:pPr>
        <w:ind w:left="3600" w:hanging="360"/>
      </w:pPr>
      <w:rPr>
        <w:rFonts w:ascii="Courier New" w:hAnsi="Courier New" w:hint="default"/>
      </w:rPr>
    </w:lvl>
    <w:lvl w:ilvl="5" w:tplc="6CCA0BC4">
      <w:start w:val="1"/>
      <w:numFmt w:val="bullet"/>
      <w:lvlText w:val=""/>
      <w:lvlJc w:val="left"/>
      <w:pPr>
        <w:ind w:left="4320" w:hanging="360"/>
      </w:pPr>
      <w:rPr>
        <w:rFonts w:ascii="Wingdings" w:hAnsi="Wingdings" w:hint="default"/>
      </w:rPr>
    </w:lvl>
    <w:lvl w:ilvl="6" w:tplc="C85AC68A">
      <w:start w:val="1"/>
      <w:numFmt w:val="bullet"/>
      <w:lvlText w:val=""/>
      <w:lvlJc w:val="left"/>
      <w:pPr>
        <w:ind w:left="5040" w:hanging="360"/>
      </w:pPr>
      <w:rPr>
        <w:rFonts w:ascii="Symbol" w:hAnsi="Symbol" w:hint="default"/>
      </w:rPr>
    </w:lvl>
    <w:lvl w:ilvl="7" w:tplc="30D853D4">
      <w:start w:val="1"/>
      <w:numFmt w:val="bullet"/>
      <w:lvlText w:val="o"/>
      <w:lvlJc w:val="left"/>
      <w:pPr>
        <w:ind w:left="5760" w:hanging="360"/>
      </w:pPr>
      <w:rPr>
        <w:rFonts w:ascii="Courier New" w:hAnsi="Courier New" w:hint="default"/>
      </w:rPr>
    </w:lvl>
    <w:lvl w:ilvl="8" w:tplc="40EC2FB0">
      <w:start w:val="1"/>
      <w:numFmt w:val="bullet"/>
      <w:lvlText w:val=""/>
      <w:lvlJc w:val="left"/>
      <w:pPr>
        <w:ind w:left="6480" w:hanging="360"/>
      </w:pPr>
      <w:rPr>
        <w:rFonts w:ascii="Wingdings" w:hAnsi="Wingdings" w:hint="default"/>
      </w:rPr>
    </w:lvl>
  </w:abstractNum>
  <w:abstractNum w:abstractNumId="21" w15:restartNumberingAfterBreak="0">
    <w:nsid w:val="39FE0961"/>
    <w:multiLevelType w:val="hybridMultilevel"/>
    <w:tmpl w:val="9078D936"/>
    <w:lvl w:ilvl="0" w:tplc="6EA093FC">
      <w:start w:val="1"/>
      <w:numFmt w:val="bullet"/>
      <w:lvlText w:val=""/>
      <w:lvlJc w:val="left"/>
      <w:pPr>
        <w:ind w:left="720" w:hanging="360"/>
      </w:pPr>
      <w:rPr>
        <w:rFonts w:ascii="Symbol" w:hAnsi="Symbol" w:hint="default"/>
      </w:rPr>
    </w:lvl>
    <w:lvl w:ilvl="1" w:tplc="907C56E0">
      <w:start w:val="1"/>
      <w:numFmt w:val="bullet"/>
      <w:lvlText w:val="o"/>
      <w:lvlJc w:val="left"/>
      <w:pPr>
        <w:ind w:left="1440" w:hanging="360"/>
      </w:pPr>
      <w:rPr>
        <w:rFonts w:ascii="Courier New" w:hAnsi="Courier New" w:hint="default"/>
      </w:rPr>
    </w:lvl>
    <w:lvl w:ilvl="2" w:tplc="223EEC62">
      <w:start w:val="1"/>
      <w:numFmt w:val="bullet"/>
      <w:lvlText w:val=""/>
      <w:lvlJc w:val="left"/>
      <w:pPr>
        <w:ind w:left="2160" w:hanging="360"/>
      </w:pPr>
      <w:rPr>
        <w:rFonts w:ascii="Wingdings" w:hAnsi="Wingdings" w:hint="default"/>
      </w:rPr>
    </w:lvl>
    <w:lvl w:ilvl="3" w:tplc="FF90E564">
      <w:start w:val="1"/>
      <w:numFmt w:val="bullet"/>
      <w:lvlText w:val=""/>
      <w:lvlJc w:val="left"/>
      <w:pPr>
        <w:ind w:left="2880" w:hanging="360"/>
      </w:pPr>
      <w:rPr>
        <w:rFonts w:ascii="Symbol" w:hAnsi="Symbol" w:hint="default"/>
      </w:rPr>
    </w:lvl>
    <w:lvl w:ilvl="4" w:tplc="E4648152">
      <w:start w:val="1"/>
      <w:numFmt w:val="bullet"/>
      <w:lvlText w:val="o"/>
      <w:lvlJc w:val="left"/>
      <w:pPr>
        <w:ind w:left="3600" w:hanging="360"/>
      </w:pPr>
      <w:rPr>
        <w:rFonts w:ascii="Courier New" w:hAnsi="Courier New" w:hint="default"/>
      </w:rPr>
    </w:lvl>
    <w:lvl w:ilvl="5" w:tplc="C3FC3B1A">
      <w:start w:val="1"/>
      <w:numFmt w:val="bullet"/>
      <w:lvlText w:val=""/>
      <w:lvlJc w:val="left"/>
      <w:pPr>
        <w:ind w:left="4320" w:hanging="360"/>
      </w:pPr>
      <w:rPr>
        <w:rFonts w:ascii="Wingdings" w:hAnsi="Wingdings" w:hint="default"/>
      </w:rPr>
    </w:lvl>
    <w:lvl w:ilvl="6" w:tplc="AFAAB536">
      <w:start w:val="1"/>
      <w:numFmt w:val="bullet"/>
      <w:lvlText w:val=""/>
      <w:lvlJc w:val="left"/>
      <w:pPr>
        <w:ind w:left="5040" w:hanging="360"/>
      </w:pPr>
      <w:rPr>
        <w:rFonts w:ascii="Symbol" w:hAnsi="Symbol" w:hint="default"/>
      </w:rPr>
    </w:lvl>
    <w:lvl w:ilvl="7" w:tplc="62142CE4">
      <w:start w:val="1"/>
      <w:numFmt w:val="bullet"/>
      <w:lvlText w:val="o"/>
      <w:lvlJc w:val="left"/>
      <w:pPr>
        <w:ind w:left="5760" w:hanging="360"/>
      </w:pPr>
      <w:rPr>
        <w:rFonts w:ascii="Courier New" w:hAnsi="Courier New" w:hint="default"/>
      </w:rPr>
    </w:lvl>
    <w:lvl w:ilvl="8" w:tplc="B44C67C4">
      <w:start w:val="1"/>
      <w:numFmt w:val="bullet"/>
      <w:lvlText w:val=""/>
      <w:lvlJc w:val="left"/>
      <w:pPr>
        <w:ind w:left="6480" w:hanging="360"/>
      </w:pPr>
      <w:rPr>
        <w:rFonts w:ascii="Wingdings" w:hAnsi="Wingdings" w:hint="default"/>
      </w:rPr>
    </w:lvl>
  </w:abstractNum>
  <w:abstractNum w:abstractNumId="22" w15:restartNumberingAfterBreak="0">
    <w:nsid w:val="3CDEE243"/>
    <w:multiLevelType w:val="hybridMultilevel"/>
    <w:tmpl w:val="FB465486"/>
    <w:lvl w:ilvl="0" w:tplc="22EC2546">
      <w:start w:val="1"/>
      <w:numFmt w:val="bullet"/>
      <w:lvlText w:val=""/>
      <w:lvlJc w:val="left"/>
      <w:pPr>
        <w:ind w:left="720" w:hanging="360"/>
      </w:pPr>
      <w:rPr>
        <w:rFonts w:ascii="Symbol" w:hAnsi="Symbol" w:hint="default"/>
      </w:rPr>
    </w:lvl>
    <w:lvl w:ilvl="1" w:tplc="69484DCC">
      <w:start w:val="1"/>
      <w:numFmt w:val="bullet"/>
      <w:lvlText w:val="o"/>
      <w:lvlJc w:val="left"/>
      <w:pPr>
        <w:ind w:left="1440" w:hanging="360"/>
      </w:pPr>
      <w:rPr>
        <w:rFonts w:ascii="Courier New" w:hAnsi="Courier New" w:hint="default"/>
      </w:rPr>
    </w:lvl>
    <w:lvl w:ilvl="2" w:tplc="1CAAEE54">
      <w:start w:val="1"/>
      <w:numFmt w:val="bullet"/>
      <w:lvlText w:val=""/>
      <w:lvlJc w:val="left"/>
      <w:pPr>
        <w:ind w:left="2160" w:hanging="360"/>
      </w:pPr>
      <w:rPr>
        <w:rFonts w:ascii="Wingdings" w:hAnsi="Wingdings" w:hint="default"/>
      </w:rPr>
    </w:lvl>
    <w:lvl w:ilvl="3" w:tplc="C4BCE78C">
      <w:start w:val="1"/>
      <w:numFmt w:val="bullet"/>
      <w:lvlText w:val=""/>
      <w:lvlJc w:val="left"/>
      <w:pPr>
        <w:ind w:left="2880" w:hanging="360"/>
      </w:pPr>
      <w:rPr>
        <w:rFonts w:ascii="Symbol" w:hAnsi="Symbol" w:hint="default"/>
      </w:rPr>
    </w:lvl>
    <w:lvl w:ilvl="4" w:tplc="6F3E262C">
      <w:start w:val="1"/>
      <w:numFmt w:val="bullet"/>
      <w:lvlText w:val="o"/>
      <w:lvlJc w:val="left"/>
      <w:pPr>
        <w:ind w:left="3600" w:hanging="360"/>
      </w:pPr>
      <w:rPr>
        <w:rFonts w:ascii="Courier New" w:hAnsi="Courier New" w:hint="default"/>
      </w:rPr>
    </w:lvl>
    <w:lvl w:ilvl="5" w:tplc="C40A2AC0">
      <w:start w:val="1"/>
      <w:numFmt w:val="bullet"/>
      <w:lvlText w:val=""/>
      <w:lvlJc w:val="left"/>
      <w:pPr>
        <w:ind w:left="4320" w:hanging="360"/>
      </w:pPr>
      <w:rPr>
        <w:rFonts w:ascii="Wingdings" w:hAnsi="Wingdings" w:hint="default"/>
      </w:rPr>
    </w:lvl>
    <w:lvl w:ilvl="6" w:tplc="8D44E07E">
      <w:start w:val="1"/>
      <w:numFmt w:val="bullet"/>
      <w:lvlText w:val=""/>
      <w:lvlJc w:val="left"/>
      <w:pPr>
        <w:ind w:left="5040" w:hanging="360"/>
      </w:pPr>
      <w:rPr>
        <w:rFonts w:ascii="Symbol" w:hAnsi="Symbol" w:hint="default"/>
      </w:rPr>
    </w:lvl>
    <w:lvl w:ilvl="7" w:tplc="0136E6B8">
      <w:start w:val="1"/>
      <w:numFmt w:val="bullet"/>
      <w:lvlText w:val="o"/>
      <w:lvlJc w:val="left"/>
      <w:pPr>
        <w:ind w:left="5760" w:hanging="360"/>
      </w:pPr>
      <w:rPr>
        <w:rFonts w:ascii="Courier New" w:hAnsi="Courier New" w:hint="default"/>
      </w:rPr>
    </w:lvl>
    <w:lvl w:ilvl="8" w:tplc="ACA248D4">
      <w:start w:val="1"/>
      <w:numFmt w:val="bullet"/>
      <w:lvlText w:val=""/>
      <w:lvlJc w:val="left"/>
      <w:pPr>
        <w:ind w:left="6480" w:hanging="360"/>
      </w:pPr>
      <w:rPr>
        <w:rFonts w:ascii="Wingdings" w:hAnsi="Wingdings" w:hint="default"/>
      </w:rPr>
    </w:lvl>
  </w:abstractNum>
  <w:abstractNum w:abstractNumId="23" w15:restartNumberingAfterBreak="0">
    <w:nsid w:val="3DD85A62"/>
    <w:multiLevelType w:val="hybridMultilevel"/>
    <w:tmpl w:val="7F88FD8A"/>
    <w:lvl w:ilvl="0" w:tplc="319A68C2">
      <w:start w:val="1"/>
      <w:numFmt w:val="bullet"/>
      <w:lvlText w:val="·"/>
      <w:lvlJc w:val="left"/>
      <w:pPr>
        <w:ind w:left="720" w:hanging="360"/>
      </w:pPr>
      <w:rPr>
        <w:rFonts w:ascii="Symbol" w:hAnsi="Symbol" w:hint="default"/>
      </w:rPr>
    </w:lvl>
    <w:lvl w:ilvl="1" w:tplc="73609614">
      <w:start w:val="1"/>
      <w:numFmt w:val="bullet"/>
      <w:lvlText w:val="o"/>
      <w:lvlJc w:val="left"/>
      <w:pPr>
        <w:ind w:left="1440" w:hanging="360"/>
      </w:pPr>
      <w:rPr>
        <w:rFonts w:ascii="Courier New" w:hAnsi="Courier New" w:hint="default"/>
      </w:rPr>
    </w:lvl>
    <w:lvl w:ilvl="2" w:tplc="2CE23F22">
      <w:start w:val="1"/>
      <w:numFmt w:val="bullet"/>
      <w:lvlText w:val=""/>
      <w:lvlJc w:val="left"/>
      <w:pPr>
        <w:ind w:left="2160" w:hanging="360"/>
      </w:pPr>
      <w:rPr>
        <w:rFonts w:ascii="Wingdings" w:hAnsi="Wingdings" w:hint="default"/>
      </w:rPr>
    </w:lvl>
    <w:lvl w:ilvl="3" w:tplc="488A5BFC">
      <w:start w:val="1"/>
      <w:numFmt w:val="bullet"/>
      <w:lvlText w:val=""/>
      <w:lvlJc w:val="left"/>
      <w:pPr>
        <w:ind w:left="2880" w:hanging="360"/>
      </w:pPr>
      <w:rPr>
        <w:rFonts w:ascii="Symbol" w:hAnsi="Symbol" w:hint="default"/>
      </w:rPr>
    </w:lvl>
    <w:lvl w:ilvl="4" w:tplc="5F28DAA8">
      <w:start w:val="1"/>
      <w:numFmt w:val="bullet"/>
      <w:lvlText w:val="o"/>
      <w:lvlJc w:val="left"/>
      <w:pPr>
        <w:ind w:left="3600" w:hanging="360"/>
      </w:pPr>
      <w:rPr>
        <w:rFonts w:ascii="Courier New" w:hAnsi="Courier New" w:hint="default"/>
      </w:rPr>
    </w:lvl>
    <w:lvl w:ilvl="5" w:tplc="F55098D4">
      <w:start w:val="1"/>
      <w:numFmt w:val="bullet"/>
      <w:lvlText w:val=""/>
      <w:lvlJc w:val="left"/>
      <w:pPr>
        <w:ind w:left="4320" w:hanging="360"/>
      </w:pPr>
      <w:rPr>
        <w:rFonts w:ascii="Wingdings" w:hAnsi="Wingdings" w:hint="default"/>
      </w:rPr>
    </w:lvl>
    <w:lvl w:ilvl="6" w:tplc="6C50B26C">
      <w:start w:val="1"/>
      <w:numFmt w:val="bullet"/>
      <w:lvlText w:val=""/>
      <w:lvlJc w:val="left"/>
      <w:pPr>
        <w:ind w:left="5040" w:hanging="360"/>
      </w:pPr>
      <w:rPr>
        <w:rFonts w:ascii="Symbol" w:hAnsi="Symbol" w:hint="default"/>
      </w:rPr>
    </w:lvl>
    <w:lvl w:ilvl="7" w:tplc="892A8BAC">
      <w:start w:val="1"/>
      <w:numFmt w:val="bullet"/>
      <w:lvlText w:val="o"/>
      <w:lvlJc w:val="left"/>
      <w:pPr>
        <w:ind w:left="5760" w:hanging="360"/>
      </w:pPr>
      <w:rPr>
        <w:rFonts w:ascii="Courier New" w:hAnsi="Courier New" w:hint="default"/>
      </w:rPr>
    </w:lvl>
    <w:lvl w:ilvl="8" w:tplc="D278EEFC">
      <w:start w:val="1"/>
      <w:numFmt w:val="bullet"/>
      <w:lvlText w:val=""/>
      <w:lvlJc w:val="left"/>
      <w:pPr>
        <w:ind w:left="6480" w:hanging="360"/>
      </w:pPr>
      <w:rPr>
        <w:rFonts w:ascii="Wingdings" w:hAnsi="Wingdings" w:hint="default"/>
      </w:rPr>
    </w:lvl>
  </w:abstractNum>
  <w:abstractNum w:abstractNumId="24" w15:restartNumberingAfterBreak="0">
    <w:nsid w:val="3E05CC2E"/>
    <w:multiLevelType w:val="singleLevel"/>
    <w:tmpl w:val="3E05CC2E"/>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3EA92BA6"/>
    <w:multiLevelType w:val="multilevel"/>
    <w:tmpl w:val="3EA92B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F872BF6"/>
    <w:multiLevelType w:val="hybridMultilevel"/>
    <w:tmpl w:val="B91CE414"/>
    <w:lvl w:ilvl="0" w:tplc="67768894">
      <w:start w:val="1"/>
      <w:numFmt w:val="bullet"/>
      <w:lvlText w:val=""/>
      <w:lvlJc w:val="left"/>
      <w:pPr>
        <w:ind w:left="720" w:hanging="360"/>
      </w:pPr>
      <w:rPr>
        <w:rFonts w:ascii="Symbol" w:hAnsi="Symbol" w:hint="default"/>
      </w:rPr>
    </w:lvl>
    <w:lvl w:ilvl="1" w:tplc="0B4CA236">
      <w:start w:val="1"/>
      <w:numFmt w:val="bullet"/>
      <w:lvlText w:val="o"/>
      <w:lvlJc w:val="left"/>
      <w:pPr>
        <w:ind w:left="1440" w:hanging="360"/>
      </w:pPr>
      <w:rPr>
        <w:rFonts w:ascii="Courier New" w:hAnsi="Courier New" w:hint="default"/>
      </w:rPr>
    </w:lvl>
    <w:lvl w:ilvl="2" w:tplc="8154F924">
      <w:start w:val="1"/>
      <w:numFmt w:val="bullet"/>
      <w:lvlText w:val=""/>
      <w:lvlJc w:val="left"/>
      <w:pPr>
        <w:ind w:left="2160" w:hanging="360"/>
      </w:pPr>
      <w:rPr>
        <w:rFonts w:ascii="Wingdings" w:hAnsi="Wingdings" w:hint="default"/>
      </w:rPr>
    </w:lvl>
    <w:lvl w:ilvl="3" w:tplc="85C09E4C">
      <w:start w:val="1"/>
      <w:numFmt w:val="bullet"/>
      <w:lvlText w:val=""/>
      <w:lvlJc w:val="left"/>
      <w:pPr>
        <w:ind w:left="2880" w:hanging="360"/>
      </w:pPr>
      <w:rPr>
        <w:rFonts w:ascii="Symbol" w:hAnsi="Symbol" w:hint="default"/>
      </w:rPr>
    </w:lvl>
    <w:lvl w:ilvl="4" w:tplc="44F61850">
      <w:start w:val="1"/>
      <w:numFmt w:val="bullet"/>
      <w:lvlText w:val="o"/>
      <w:lvlJc w:val="left"/>
      <w:pPr>
        <w:ind w:left="3600" w:hanging="360"/>
      </w:pPr>
      <w:rPr>
        <w:rFonts w:ascii="Courier New" w:hAnsi="Courier New" w:hint="default"/>
      </w:rPr>
    </w:lvl>
    <w:lvl w:ilvl="5" w:tplc="209C882A">
      <w:start w:val="1"/>
      <w:numFmt w:val="bullet"/>
      <w:lvlText w:val=""/>
      <w:lvlJc w:val="left"/>
      <w:pPr>
        <w:ind w:left="4320" w:hanging="360"/>
      </w:pPr>
      <w:rPr>
        <w:rFonts w:ascii="Wingdings" w:hAnsi="Wingdings" w:hint="default"/>
      </w:rPr>
    </w:lvl>
    <w:lvl w:ilvl="6" w:tplc="3F82A7F0">
      <w:start w:val="1"/>
      <w:numFmt w:val="bullet"/>
      <w:lvlText w:val=""/>
      <w:lvlJc w:val="left"/>
      <w:pPr>
        <w:ind w:left="5040" w:hanging="360"/>
      </w:pPr>
      <w:rPr>
        <w:rFonts w:ascii="Symbol" w:hAnsi="Symbol" w:hint="default"/>
      </w:rPr>
    </w:lvl>
    <w:lvl w:ilvl="7" w:tplc="37E6F296">
      <w:start w:val="1"/>
      <w:numFmt w:val="bullet"/>
      <w:lvlText w:val="o"/>
      <w:lvlJc w:val="left"/>
      <w:pPr>
        <w:ind w:left="5760" w:hanging="360"/>
      </w:pPr>
      <w:rPr>
        <w:rFonts w:ascii="Courier New" w:hAnsi="Courier New" w:hint="default"/>
      </w:rPr>
    </w:lvl>
    <w:lvl w:ilvl="8" w:tplc="14E26CC6">
      <w:start w:val="1"/>
      <w:numFmt w:val="bullet"/>
      <w:lvlText w:val=""/>
      <w:lvlJc w:val="left"/>
      <w:pPr>
        <w:ind w:left="6480" w:hanging="360"/>
      </w:pPr>
      <w:rPr>
        <w:rFonts w:ascii="Wingdings" w:hAnsi="Wingdings" w:hint="default"/>
      </w:rPr>
    </w:lvl>
  </w:abstractNum>
  <w:abstractNum w:abstractNumId="27" w15:restartNumberingAfterBreak="0">
    <w:nsid w:val="415B3A3C"/>
    <w:multiLevelType w:val="hybridMultilevel"/>
    <w:tmpl w:val="D56C2960"/>
    <w:lvl w:ilvl="0" w:tplc="8D78968C">
      <w:start w:val="1"/>
      <w:numFmt w:val="bullet"/>
      <w:lvlText w:val=""/>
      <w:lvlJc w:val="left"/>
      <w:pPr>
        <w:ind w:left="720" w:hanging="360"/>
      </w:pPr>
      <w:rPr>
        <w:rFonts w:ascii="Wingdings" w:hAnsi="Wingdings" w:hint="default"/>
      </w:rPr>
    </w:lvl>
    <w:lvl w:ilvl="1" w:tplc="16BA4E80">
      <w:start w:val="1"/>
      <w:numFmt w:val="bullet"/>
      <w:lvlText w:val="o"/>
      <w:lvlJc w:val="left"/>
      <w:pPr>
        <w:ind w:left="1440" w:hanging="360"/>
      </w:pPr>
      <w:rPr>
        <w:rFonts w:ascii="Courier New" w:hAnsi="Courier New" w:hint="default"/>
      </w:rPr>
    </w:lvl>
    <w:lvl w:ilvl="2" w:tplc="F3B89C92">
      <w:start w:val="1"/>
      <w:numFmt w:val="bullet"/>
      <w:lvlText w:val=""/>
      <w:lvlJc w:val="left"/>
      <w:pPr>
        <w:ind w:left="2160" w:hanging="360"/>
      </w:pPr>
      <w:rPr>
        <w:rFonts w:ascii="Wingdings" w:hAnsi="Wingdings" w:hint="default"/>
      </w:rPr>
    </w:lvl>
    <w:lvl w:ilvl="3" w:tplc="3BC8E934">
      <w:start w:val="1"/>
      <w:numFmt w:val="bullet"/>
      <w:lvlText w:val=""/>
      <w:lvlJc w:val="left"/>
      <w:pPr>
        <w:ind w:left="2880" w:hanging="360"/>
      </w:pPr>
      <w:rPr>
        <w:rFonts w:ascii="Symbol" w:hAnsi="Symbol" w:hint="default"/>
      </w:rPr>
    </w:lvl>
    <w:lvl w:ilvl="4" w:tplc="206C55A6">
      <w:start w:val="1"/>
      <w:numFmt w:val="bullet"/>
      <w:lvlText w:val="o"/>
      <w:lvlJc w:val="left"/>
      <w:pPr>
        <w:ind w:left="3600" w:hanging="360"/>
      </w:pPr>
      <w:rPr>
        <w:rFonts w:ascii="Courier New" w:hAnsi="Courier New" w:hint="default"/>
      </w:rPr>
    </w:lvl>
    <w:lvl w:ilvl="5" w:tplc="42E22F6E">
      <w:start w:val="1"/>
      <w:numFmt w:val="bullet"/>
      <w:lvlText w:val=""/>
      <w:lvlJc w:val="left"/>
      <w:pPr>
        <w:ind w:left="4320" w:hanging="360"/>
      </w:pPr>
      <w:rPr>
        <w:rFonts w:ascii="Wingdings" w:hAnsi="Wingdings" w:hint="default"/>
      </w:rPr>
    </w:lvl>
    <w:lvl w:ilvl="6" w:tplc="E3B67AA4">
      <w:start w:val="1"/>
      <w:numFmt w:val="bullet"/>
      <w:lvlText w:val=""/>
      <w:lvlJc w:val="left"/>
      <w:pPr>
        <w:ind w:left="5040" w:hanging="360"/>
      </w:pPr>
      <w:rPr>
        <w:rFonts w:ascii="Symbol" w:hAnsi="Symbol" w:hint="default"/>
      </w:rPr>
    </w:lvl>
    <w:lvl w:ilvl="7" w:tplc="4A9EE484">
      <w:start w:val="1"/>
      <w:numFmt w:val="bullet"/>
      <w:lvlText w:val="o"/>
      <w:lvlJc w:val="left"/>
      <w:pPr>
        <w:ind w:left="5760" w:hanging="360"/>
      </w:pPr>
      <w:rPr>
        <w:rFonts w:ascii="Courier New" w:hAnsi="Courier New" w:hint="default"/>
      </w:rPr>
    </w:lvl>
    <w:lvl w:ilvl="8" w:tplc="62AE0C34">
      <w:start w:val="1"/>
      <w:numFmt w:val="bullet"/>
      <w:lvlText w:val=""/>
      <w:lvlJc w:val="left"/>
      <w:pPr>
        <w:ind w:left="6480" w:hanging="360"/>
      </w:pPr>
      <w:rPr>
        <w:rFonts w:ascii="Wingdings" w:hAnsi="Wingdings" w:hint="default"/>
      </w:rPr>
    </w:lvl>
  </w:abstractNum>
  <w:abstractNum w:abstractNumId="28" w15:restartNumberingAfterBreak="0">
    <w:nsid w:val="41EE478F"/>
    <w:multiLevelType w:val="hybridMultilevel"/>
    <w:tmpl w:val="7C286784"/>
    <w:lvl w:ilvl="0" w:tplc="ABD46388">
      <w:start w:val="1"/>
      <w:numFmt w:val="bullet"/>
      <w:lvlText w:val=""/>
      <w:lvlJc w:val="left"/>
      <w:pPr>
        <w:ind w:left="720" w:hanging="360"/>
      </w:pPr>
      <w:rPr>
        <w:rFonts w:ascii="Symbol" w:hAnsi="Symbol" w:hint="default"/>
      </w:rPr>
    </w:lvl>
    <w:lvl w:ilvl="1" w:tplc="E5243496">
      <w:start w:val="1"/>
      <w:numFmt w:val="bullet"/>
      <w:lvlText w:val="o"/>
      <w:lvlJc w:val="left"/>
      <w:pPr>
        <w:ind w:left="1440" w:hanging="360"/>
      </w:pPr>
      <w:rPr>
        <w:rFonts w:ascii="Courier New" w:hAnsi="Courier New" w:hint="default"/>
      </w:rPr>
    </w:lvl>
    <w:lvl w:ilvl="2" w:tplc="CA743990">
      <w:start w:val="1"/>
      <w:numFmt w:val="bullet"/>
      <w:lvlText w:val=""/>
      <w:lvlJc w:val="left"/>
      <w:pPr>
        <w:ind w:left="2160" w:hanging="360"/>
      </w:pPr>
      <w:rPr>
        <w:rFonts w:ascii="Wingdings" w:hAnsi="Wingdings" w:hint="default"/>
      </w:rPr>
    </w:lvl>
    <w:lvl w:ilvl="3" w:tplc="B352F09C">
      <w:start w:val="1"/>
      <w:numFmt w:val="bullet"/>
      <w:lvlText w:val=""/>
      <w:lvlJc w:val="left"/>
      <w:pPr>
        <w:ind w:left="2880" w:hanging="360"/>
      </w:pPr>
      <w:rPr>
        <w:rFonts w:ascii="Symbol" w:hAnsi="Symbol" w:hint="default"/>
      </w:rPr>
    </w:lvl>
    <w:lvl w:ilvl="4" w:tplc="1152DE28">
      <w:start w:val="1"/>
      <w:numFmt w:val="bullet"/>
      <w:lvlText w:val="o"/>
      <w:lvlJc w:val="left"/>
      <w:pPr>
        <w:ind w:left="3600" w:hanging="360"/>
      </w:pPr>
      <w:rPr>
        <w:rFonts w:ascii="Courier New" w:hAnsi="Courier New" w:hint="default"/>
      </w:rPr>
    </w:lvl>
    <w:lvl w:ilvl="5" w:tplc="2BC240AC">
      <w:start w:val="1"/>
      <w:numFmt w:val="bullet"/>
      <w:lvlText w:val=""/>
      <w:lvlJc w:val="left"/>
      <w:pPr>
        <w:ind w:left="4320" w:hanging="360"/>
      </w:pPr>
      <w:rPr>
        <w:rFonts w:ascii="Wingdings" w:hAnsi="Wingdings" w:hint="default"/>
      </w:rPr>
    </w:lvl>
    <w:lvl w:ilvl="6" w:tplc="893643B4">
      <w:start w:val="1"/>
      <w:numFmt w:val="bullet"/>
      <w:lvlText w:val=""/>
      <w:lvlJc w:val="left"/>
      <w:pPr>
        <w:ind w:left="5040" w:hanging="360"/>
      </w:pPr>
      <w:rPr>
        <w:rFonts w:ascii="Symbol" w:hAnsi="Symbol" w:hint="default"/>
      </w:rPr>
    </w:lvl>
    <w:lvl w:ilvl="7" w:tplc="B282C558">
      <w:start w:val="1"/>
      <w:numFmt w:val="bullet"/>
      <w:lvlText w:val="o"/>
      <w:lvlJc w:val="left"/>
      <w:pPr>
        <w:ind w:left="5760" w:hanging="360"/>
      </w:pPr>
      <w:rPr>
        <w:rFonts w:ascii="Courier New" w:hAnsi="Courier New" w:hint="default"/>
      </w:rPr>
    </w:lvl>
    <w:lvl w:ilvl="8" w:tplc="5E4628EA">
      <w:start w:val="1"/>
      <w:numFmt w:val="bullet"/>
      <w:lvlText w:val=""/>
      <w:lvlJc w:val="left"/>
      <w:pPr>
        <w:ind w:left="6480" w:hanging="360"/>
      </w:pPr>
      <w:rPr>
        <w:rFonts w:ascii="Wingdings" w:hAnsi="Wingdings" w:hint="default"/>
      </w:rPr>
    </w:lvl>
  </w:abstractNum>
  <w:abstractNum w:abstractNumId="29" w15:restartNumberingAfterBreak="0">
    <w:nsid w:val="4D86EB85"/>
    <w:multiLevelType w:val="hybridMultilevel"/>
    <w:tmpl w:val="CDA60AF2"/>
    <w:lvl w:ilvl="0" w:tplc="3B582156">
      <w:start w:val="1"/>
      <w:numFmt w:val="bullet"/>
      <w:lvlText w:val="·"/>
      <w:lvlJc w:val="left"/>
      <w:pPr>
        <w:ind w:left="720" w:hanging="360"/>
      </w:pPr>
      <w:rPr>
        <w:rFonts w:ascii="Symbol" w:hAnsi="Symbol" w:hint="default"/>
      </w:rPr>
    </w:lvl>
    <w:lvl w:ilvl="1" w:tplc="3F14410A">
      <w:start w:val="1"/>
      <w:numFmt w:val="bullet"/>
      <w:lvlText w:val="o"/>
      <w:lvlJc w:val="left"/>
      <w:pPr>
        <w:ind w:left="1440" w:hanging="360"/>
      </w:pPr>
      <w:rPr>
        <w:rFonts w:ascii="Courier New" w:hAnsi="Courier New" w:hint="default"/>
      </w:rPr>
    </w:lvl>
    <w:lvl w:ilvl="2" w:tplc="9E2A3E62">
      <w:start w:val="1"/>
      <w:numFmt w:val="bullet"/>
      <w:lvlText w:val=""/>
      <w:lvlJc w:val="left"/>
      <w:pPr>
        <w:ind w:left="2160" w:hanging="360"/>
      </w:pPr>
      <w:rPr>
        <w:rFonts w:ascii="Wingdings" w:hAnsi="Wingdings" w:hint="default"/>
      </w:rPr>
    </w:lvl>
    <w:lvl w:ilvl="3" w:tplc="958A69B8">
      <w:start w:val="1"/>
      <w:numFmt w:val="bullet"/>
      <w:lvlText w:val=""/>
      <w:lvlJc w:val="left"/>
      <w:pPr>
        <w:ind w:left="2880" w:hanging="360"/>
      </w:pPr>
      <w:rPr>
        <w:rFonts w:ascii="Symbol" w:hAnsi="Symbol" w:hint="default"/>
      </w:rPr>
    </w:lvl>
    <w:lvl w:ilvl="4" w:tplc="293421AE">
      <w:start w:val="1"/>
      <w:numFmt w:val="bullet"/>
      <w:lvlText w:val="o"/>
      <w:lvlJc w:val="left"/>
      <w:pPr>
        <w:ind w:left="3600" w:hanging="360"/>
      </w:pPr>
      <w:rPr>
        <w:rFonts w:ascii="Courier New" w:hAnsi="Courier New" w:hint="default"/>
      </w:rPr>
    </w:lvl>
    <w:lvl w:ilvl="5" w:tplc="6A6AF664">
      <w:start w:val="1"/>
      <w:numFmt w:val="bullet"/>
      <w:lvlText w:val=""/>
      <w:lvlJc w:val="left"/>
      <w:pPr>
        <w:ind w:left="4320" w:hanging="360"/>
      </w:pPr>
      <w:rPr>
        <w:rFonts w:ascii="Wingdings" w:hAnsi="Wingdings" w:hint="default"/>
      </w:rPr>
    </w:lvl>
    <w:lvl w:ilvl="6" w:tplc="F7E6B89C">
      <w:start w:val="1"/>
      <w:numFmt w:val="bullet"/>
      <w:lvlText w:val=""/>
      <w:lvlJc w:val="left"/>
      <w:pPr>
        <w:ind w:left="5040" w:hanging="360"/>
      </w:pPr>
      <w:rPr>
        <w:rFonts w:ascii="Symbol" w:hAnsi="Symbol" w:hint="default"/>
      </w:rPr>
    </w:lvl>
    <w:lvl w:ilvl="7" w:tplc="C3B6BC08">
      <w:start w:val="1"/>
      <w:numFmt w:val="bullet"/>
      <w:lvlText w:val="o"/>
      <w:lvlJc w:val="left"/>
      <w:pPr>
        <w:ind w:left="5760" w:hanging="360"/>
      </w:pPr>
      <w:rPr>
        <w:rFonts w:ascii="Courier New" w:hAnsi="Courier New" w:hint="default"/>
      </w:rPr>
    </w:lvl>
    <w:lvl w:ilvl="8" w:tplc="13ACEF7C">
      <w:start w:val="1"/>
      <w:numFmt w:val="bullet"/>
      <w:lvlText w:val=""/>
      <w:lvlJc w:val="left"/>
      <w:pPr>
        <w:ind w:left="6480" w:hanging="360"/>
      </w:pPr>
      <w:rPr>
        <w:rFonts w:ascii="Wingdings" w:hAnsi="Wingdings" w:hint="default"/>
      </w:rPr>
    </w:lvl>
  </w:abstractNum>
  <w:abstractNum w:abstractNumId="30" w15:restartNumberingAfterBreak="0">
    <w:nsid w:val="52945333"/>
    <w:multiLevelType w:val="hybridMultilevel"/>
    <w:tmpl w:val="13006850"/>
    <w:lvl w:ilvl="0" w:tplc="53CC3904">
      <w:start w:val="1"/>
      <w:numFmt w:val="decimal"/>
      <w:lvlText w:val="●"/>
      <w:lvlJc w:val="left"/>
      <w:pPr>
        <w:ind w:left="720" w:hanging="360"/>
      </w:pPr>
    </w:lvl>
    <w:lvl w:ilvl="1" w:tplc="B73C0E68">
      <w:start w:val="1"/>
      <w:numFmt w:val="lowerLetter"/>
      <w:lvlText w:val="%2."/>
      <w:lvlJc w:val="left"/>
      <w:pPr>
        <w:ind w:left="1440" w:hanging="360"/>
      </w:pPr>
    </w:lvl>
    <w:lvl w:ilvl="2" w:tplc="1FD81EA0">
      <w:start w:val="1"/>
      <w:numFmt w:val="lowerRoman"/>
      <w:lvlText w:val="%3."/>
      <w:lvlJc w:val="right"/>
      <w:pPr>
        <w:ind w:left="2160" w:hanging="180"/>
      </w:pPr>
    </w:lvl>
    <w:lvl w:ilvl="3" w:tplc="5156DB2A">
      <w:start w:val="1"/>
      <w:numFmt w:val="decimal"/>
      <w:lvlText w:val="%4."/>
      <w:lvlJc w:val="left"/>
      <w:pPr>
        <w:ind w:left="2880" w:hanging="360"/>
      </w:pPr>
    </w:lvl>
    <w:lvl w:ilvl="4" w:tplc="6C5A34C8">
      <w:start w:val="1"/>
      <w:numFmt w:val="lowerLetter"/>
      <w:lvlText w:val="%5."/>
      <w:lvlJc w:val="left"/>
      <w:pPr>
        <w:ind w:left="3600" w:hanging="360"/>
      </w:pPr>
    </w:lvl>
    <w:lvl w:ilvl="5" w:tplc="3E6C44AC">
      <w:start w:val="1"/>
      <w:numFmt w:val="lowerRoman"/>
      <w:lvlText w:val="%6."/>
      <w:lvlJc w:val="right"/>
      <w:pPr>
        <w:ind w:left="4320" w:hanging="180"/>
      </w:pPr>
    </w:lvl>
    <w:lvl w:ilvl="6" w:tplc="E1B45FAC">
      <w:start w:val="1"/>
      <w:numFmt w:val="decimal"/>
      <w:lvlText w:val="%7."/>
      <w:lvlJc w:val="left"/>
      <w:pPr>
        <w:ind w:left="5040" w:hanging="360"/>
      </w:pPr>
    </w:lvl>
    <w:lvl w:ilvl="7" w:tplc="D13A1B56">
      <w:start w:val="1"/>
      <w:numFmt w:val="lowerLetter"/>
      <w:lvlText w:val="%8."/>
      <w:lvlJc w:val="left"/>
      <w:pPr>
        <w:ind w:left="5760" w:hanging="360"/>
      </w:pPr>
    </w:lvl>
    <w:lvl w:ilvl="8" w:tplc="0408052E">
      <w:start w:val="1"/>
      <w:numFmt w:val="lowerRoman"/>
      <w:lvlText w:val="%9."/>
      <w:lvlJc w:val="right"/>
      <w:pPr>
        <w:ind w:left="6480" w:hanging="180"/>
      </w:pPr>
    </w:lvl>
  </w:abstractNum>
  <w:abstractNum w:abstractNumId="31" w15:restartNumberingAfterBreak="0">
    <w:nsid w:val="53F63AD9"/>
    <w:multiLevelType w:val="hybridMultilevel"/>
    <w:tmpl w:val="BB1EE3F4"/>
    <w:lvl w:ilvl="0" w:tplc="FFFFFFFF">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4FDBA75"/>
    <w:multiLevelType w:val="multilevel"/>
    <w:tmpl w:val="9A0A1EC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2.%3.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6CB00CF"/>
    <w:multiLevelType w:val="multilevel"/>
    <w:tmpl w:val="4FEE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077A75"/>
    <w:multiLevelType w:val="multilevel"/>
    <w:tmpl w:val="53C66CB4"/>
    <w:lvl w:ilvl="0">
      <w:start w:val="1"/>
      <w:numFmt w:val="decimal"/>
      <w:lvlText w:val="%1"/>
      <w:lvlJc w:val="left"/>
      <w:pPr>
        <w:ind w:left="540" w:hanging="540"/>
      </w:pPr>
      <w:rPr>
        <w:rFonts w:hint="default"/>
      </w:rPr>
    </w:lvl>
    <w:lvl w:ilvl="1">
      <w:start w:val="6"/>
      <w:numFmt w:val="decimal"/>
      <w:lvlText w:val="%1.%2"/>
      <w:lvlJc w:val="left"/>
      <w:pPr>
        <w:ind w:left="1113" w:hanging="540"/>
      </w:pPr>
      <w:rPr>
        <w:rFonts w:hint="default"/>
      </w:rPr>
    </w:lvl>
    <w:lvl w:ilvl="2">
      <w:start w:val="2"/>
      <w:numFmt w:val="decimal"/>
      <w:lvlText w:val="%1.%2.%3"/>
      <w:lvlJc w:val="left"/>
      <w:pPr>
        <w:ind w:left="1866" w:hanging="720"/>
      </w:pPr>
      <w:rPr>
        <w:rFonts w:hint="default"/>
      </w:rPr>
    </w:lvl>
    <w:lvl w:ilvl="3">
      <w:start w:val="1"/>
      <w:numFmt w:val="decimal"/>
      <w:lvlText w:val="%1.%2.%3.%4"/>
      <w:lvlJc w:val="left"/>
      <w:pPr>
        <w:ind w:left="2799" w:hanging="1080"/>
      </w:pPr>
      <w:rPr>
        <w:rFonts w:hint="default"/>
      </w:rPr>
    </w:lvl>
    <w:lvl w:ilvl="4">
      <w:start w:val="1"/>
      <w:numFmt w:val="decimal"/>
      <w:lvlText w:val="%1.%2.%3.%4.%5"/>
      <w:lvlJc w:val="left"/>
      <w:pPr>
        <w:ind w:left="3372" w:hanging="1080"/>
      </w:pPr>
      <w:rPr>
        <w:rFonts w:hint="default"/>
      </w:rPr>
    </w:lvl>
    <w:lvl w:ilvl="5">
      <w:start w:val="1"/>
      <w:numFmt w:val="decimal"/>
      <w:lvlText w:val="%1.%2.%3.%4.%5.%6"/>
      <w:lvlJc w:val="left"/>
      <w:pPr>
        <w:ind w:left="4305" w:hanging="1440"/>
      </w:pPr>
      <w:rPr>
        <w:rFonts w:hint="default"/>
      </w:rPr>
    </w:lvl>
    <w:lvl w:ilvl="6">
      <w:start w:val="1"/>
      <w:numFmt w:val="decimal"/>
      <w:lvlText w:val="%1.%2.%3.%4.%5.%6.%7"/>
      <w:lvlJc w:val="left"/>
      <w:pPr>
        <w:ind w:left="4878" w:hanging="1440"/>
      </w:pPr>
      <w:rPr>
        <w:rFonts w:hint="default"/>
      </w:rPr>
    </w:lvl>
    <w:lvl w:ilvl="7">
      <w:start w:val="1"/>
      <w:numFmt w:val="decimal"/>
      <w:lvlText w:val="%1.%2.%3.%4.%5.%6.%7.%8"/>
      <w:lvlJc w:val="left"/>
      <w:pPr>
        <w:ind w:left="5811" w:hanging="1800"/>
      </w:pPr>
      <w:rPr>
        <w:rFonts w:hint="default"/>
      </w:rPr>
    </w:lvl>
    <w:lvl w:ilvl="8">
      <w:start w:val="1"/>
      <w:numFmt w:val="decimal"/>
      <w:lvlText w:val="%1.%2.%3.%4.%5.%6.%7.%8.%9"/>
      <w:lvlJc w:val="left"/>
      <w:pPr>
        <w:ind w:left="6384" w:hanging="1800"/>
      </w:pPr>
      <w:rPr>
        <w:rFonts w:hint="default"/>
      </w:rPr>
    </w:lvl>
  </w:abstractNum>
  <w:abstractNum w:abstractNumId="35" w15:restartNumberingAfterBreak="0">
    <w:nsid w:val="593D519A"/>
    <w:multiLevelType w:val="hybridMultilevel"/>
    <w:tmpl w:val="93D28C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C3C0620"/>
    <w:multiLevelType w:val="hybridMultilevel"/>
    <w:tmpl w:val="3578A804"/>
    <w:lvl w:ilvl="0" w:tplc="3AD6A398">
      <w:start w:val="1"/>
      <w:numFmt w:val="bullet"/>
      <w:lvlText w:val=""/>
      <w:lvlJc w:val="left"/>
      <w:pPr>
        <w:ind w:left="720" w:hanging="360"/>
      </w:pPr>
      <w:rPr>
        <w:rFonts w:ascii="Symbol" w:hAnsi="Symbol" w:hint="default"/>
      </w:rPr>
    </w:lvl>
    <w:lvl w:ilvl="1" w:tplc="8B060FA0">
      <w:start w:val="1"/>
      <w:numFmt w:val="bullet"/>
      <w:lvlText w:val="o"/>
      <w:lvlJc w:val="left"/>
      <w:pPr>
        <w:ind w:left="1440" w:hanging="360"/>
      </w:pPr>
      <w:rPr>
        <w:rFonts w:ascii="Courier New" w:hAnsi="Courier New" w:hint="default"/>
      </w:rPr>
    </w:lvl>
    <w:lvl w:ilvl="2" w:tplc="DEA4F63C">
      <w:start w:val="1"/>
      <w:numFmt w:val="bullet"/>
      <w:lvlText w:val=""/>
      <w:lvlJc w:val="left"/>
      <w:pPr>
        <w:ind w:left="2160" w:hanging="360"/>
      </w:pPr>
      <w:rPr>
        <w:rFonts w:ascii="Wingdings" w:hAnsi="Wingdings" w:hint="default"/>
      </w:rPr>
    </w:lvl>
    <w:lvl w:ilvl="3" w:tplc="DFE053EC">
      <w:start w:val="1"/>
      <w:numFmt w:val="bullet"/>
      <w:lvlText w:val=""/>
      <w:lvlJc w:val="left"/>
      <w:pPr>
        <w:ind w:left="2880" w:hanging="360"/>
      </w:pPr>
      <w:rPr>
        <w:rFonts w:ascii="Symbol" w:hAnsi="Symbol" w:hint="default"/>
      </w:rPr>
    </w:lvl>
    <w:lvl w:ilvl="4" w:tplc="E9C6169C">
      <w:start w:val="1"/>
      <w:numFmt w:val="bullet"/>
      <w:lvlText w:val="o"/>
      <w:lvlJc w:val="left"/>
      <w:pPr>
        <w:ind w:left="3600" w:hanging="360"/>
      </w:pPr>
      <w:rPr>
        <w:rFonts w:ascii="Courier New" w:hAnsi="Courier New" w:hint="default"/>
      </w:rPr>
    </w:lvl>
    <w:lvl w:ilvl="5" w:tplc="D6368C20">
      <w:start w:val="1"/>
      <w:numFmt w:val="bullet"/>
      <w:lvlText w:val=""/>
      <w:lvlJc w:val="left"/>
      <w:pPr>
        <w:ind w:left="4320" w:hanging="360"/>
      </w:pPr>
      <w:rPr>
        <w:rFonts w:ascii="Wingdings" w:hAnsi="Wingdings" w:hint="default"/>
      </w:rPr>
    </w:lvl>
    <w:lvl w:ilvl="6" w:tplc="1A242D6E">
      <w:start w:val="1"/>
      <w:numFmt w:val="bullet"/>
      <w:lvlText w:val=""/>
      <w:lvlJc w:val="left"/>
      <w:pPr>
        <w:ind w:left="5040" w:hanging="360"/>
      </w:pPr>
      <w:rPr>
        <w:rFonts w:ascii="Symbol" w:hAnsi="Symbol" w:hint="default"/>
      </w:rPr>
    </w:lvl>
    <w:lvl w:ilvl="7" w:tplc="1F705E3C">
      <w:start w:val="1"/>
      <w:numFmt w:val="bullet"/>
      <w:lvlText w:val="o"/>
      <w:lvlJc w:val="left"/>
      <w:pPr>
        <w:ind w:left="5760" w:hanging="360"/>
      </w:pPr>
      <w:rPr>
        <w:rFonts w:ascii="Courier New" w:hAnsi="Courier New" w:hint="default"/>
      </w:rPr>
    </w:lvl>
    <w:lvl w:ilvl="8" w:tplc="995A7E60">
      <w:start w:val="1"/>
      <w:numFmt w:val="bullet"/>
      <w:lvlText w:val=""/>
      <w:lvlJc w:val="left"/>
      <w:pPr>
        <w:ind w:left="6480" w:hanging="360"/>
      </w:pPr>
      <w:rPr>
        <w:rFonts w:ascii="Wingdings" w:hAnsi="Wingdings" w:hint="default"/>
      </w:rPr>
    </w:lvl>
  </w:abstractNum>
  <w:abstractNum w:abstractNumId="37" w15:restartNumberingAfterBreak="0">
    <w:nsid w:val="6226DEE8"/>
    <w:multiLevelType w:val="multilevel"/>
    <w:tmpl w:val="A29CD6BC"/>
    <w:lvl w:ilvl="0">
      <w:start w:val="2"/>
      <w:numFmt w:val="decimal"/>
      <w:lvlText w:val="%1."/>
      <w:lvlJc w:val="left"/>
      <w:pPr>
        <w:ind w:left="1667" w:hanging="39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549EFB5"/>
    <w:multiLevelType w:val="multilevel"/>
    <w:tmpl w:val="475631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599850F"/>
    <w:multiLevelType w:val="hybridMultilevel"/>
    <w:tmpl w:val="F99A1104"/>
    <w:lvl w:ilvl="0" w:tplc="45D8E498">
      <w:start w:val="1"/>
      <w:numFmt w:val="bullet"/>
      <w:lvlText w:val=""/>
      <w:lvlJc w:val="left"/>
      <w:pPr>
        <w:ind w:left="720" w:hanging="360"/>
      </w:pPr>
      <w:rPr>
        <w:rFonts w:ascii="Symbol" w:hAnsi="Symbol" w:hint="default"/>
      </w:rPr>
    </w:lvl>
    <w:lvl w:ilvl="1" w:tplc="283E164E">
      <w:start w:val="1"/>
      <w:numFmt w:val="bullet"/>
      <w:lvlText w:val="o"/>
      <w:lvlJc w:val="left"/>
      <w:pPr>
        <w:ind w:left="1440" w:hanging="360"/>
      </w:pPr>
      <w:rPr>
        <w:rFonts w:ascii="Courier New" w:hAnsi="Courier New" w:hint="default"/>
      </w:rPr>
    </w:lvl>
    <w:lvl w:ilvl="2" w:tplc="EE840738">
      <w:start w:val="1"/>
      <w:numFmt w:val="bullet"/>
      <w:lvlText w:val=""/>
      <w:lvlJc w:val="left"/>
      <w:pPr>
        <w:ind w:left="2160" w:hanging="360"/>
      </w:pPr>
      <w:rPr>
        <w:rFonts w:ascii="Wingdings" w:hAnsi="Wingdings" w:hint="default"/>
      </w:rPr>
    </w:lvl>
    <w:lvl w:ilvl="3" w:tplc="3072D1E8">
      <w:start w:val="1"/>
      <w:numFmt w:val="bullet"/>
      <w:lvlText w:val=""/>
      <w:lvlJc w:val="left"/>
      <w:pPr>
        <w:ind w:left="2880" w:hanging="360"/>
      </w:pPr>
      <w:rPr>
        <w:rFonts w:ascii="Symbol" w:hAnsi="Symbol" w:hint="default"/>
      </w:rPr>
    </w:lvl>
    <w:lvl w:ilvl="4" w:tplc="2D0472E0">
      <w:start w:val="1"/>
      <w:numFmt w:val="bullet"/>
      <w:lvlText w:val="o"/>
      <w:lvlJc w:val="left"/>
      <w:pPr>
        <w:ind w:left="3600" w:hanging="360"/>
      </w:pPr>
      <w:rPr>
        <w:rFonts w:ascii="Courier New" w:hAnsi="Courier New" w:hint="default"/>
      </w:rPr>
    </w:lvl>
    <w:lvl w:ilvl="5" w:tplc="761C96DA">
      <w:start w:val="1"/>
      <w:numFmt w:val="bullet"/>
      <w:lvlText w:val=""/>
      <w:lvlJc w:val="left"/>
      <w:pPr>
        <w:ind w:left="4320" w:hanging="360"/>
      </w:pPr>
      <w:rPr>
        <w:rFonts w:ascii="Wingdings" w:hAnsi="Wingdings" w:hint="default"/>
      </w:rPr>
    </w:lvl>
    <w:lvl w:ilvl="6" w:tplc="CD18AF8C">
      <w:start w:val="1"/>
      <w:numFmt w:val="bullet"/>
      <w:lvlText w:val=""/>
      <w:lvlJc w:val="left"/>
      <w:pPr>
        <w:ind w:left="5040" w:hanging="360"/>
      </w:pPr>
      <w:rPr>
        <w:rFonts w:ascii="Symbol" w:hAnsi="Symbol" w:hint="default"/>
      </w:rPr>
    </w:lvl>
    <w:lvl w:ilvl="7" w:tplc="2EB09C5E">
      <w:start w:val="1"/>
      <w:numFmt w:val="bullet"/>
      <w:lvlText w:val="o"/>
      <w:lvlJc w:val="left"/>
      <w:pPr>
        <w:ind w:left="5760" w:hanging="360"/>
      </w:pPr>
      <w:rPr>
        <w:rFonts w:ascii="Courier New" w:hAnsi="Courier New" w:hint="default"/>
      </w:rPr>
    </w:lvl>
    <w:lvl w:ilvl="8" w:tplc="43B861A2">
      <w:start w:val="1"/>
      <w:numFmt w:val="bullet"/>
      <w:lvlText w:val=""/>
      <w:lvlJc w:val="left"/>
      <w:pPr>
        <w:ind w:left="6480" w:hanging="360"/>
      </w:pPr>
      <w:rPr>
        <w:rFonts w:ascii="Wingdings" w:hAnsi="Wingdings" w:hint="default"/>
      </w:rPr>
    </w:lvl>
  </w:abstractNum>
  <w:abstractNum w:abstractNumId="40" w15:restartNumberingAfterBreak="0">
    <w:nsid w:val="6A5D8805"/>
    <w:multiLevelType w:val="hybridMultilevel"/>
    <w:tmpl w:val="5E241DEC"/>
    <w:lvl w:ilvl="0" w:tplc="56E64CCC">
      <w:start w:val="1"/>
      <w:numFmt w:val="bullet"/>
      <w:lvlText w:val=""/>
      <w:lvlJc w:val="left"/>
      <w:pPr>
        <w:ind w:left="720" w:hanging="360"/>
      </w:pPr>
      <w:rPr>
        <w:rFonts w:ascii="Symbol" w:hAnsi="Symbol" w:hint="default"/>
      </w:rPr>
    </w:lvl>
    <w:lvl w:ilvl="1" w:tplc="9A52DAF8">
      <w:start w:val="1"/>
      <w:numFmt w:val="bullet"/>
      <w:lvlText w:val="o"/>
      <w:lvlJc w:val="left"/>
      <w:pPr>
        <w:ind w:left="1440" w:hanging="360"/>
      </w:pPr>
      <w:rPr>
        <w:rFonts w:ascii="Courier New" w:hAnsi="Courier New" w:hint="default"/>
      </w:rPr>
    </w:lvl>
    <w:lvl w:ilvl="2" w:tplc="0F466C80">
      <w:start w:val="1"/>
      <w:numFmt w:val="bullet"/>
      <w:lvlText w:val=""/>
      <w:lvlJc w:val="left"/>
      <w:pPr>
        <w:ind w:left="2160" w:hanging="360"/>
      </w:pPr>
      <w:rPr>
        <w:rFonts w:ascii="Wingdings" w:hAnsi="Wingdings" w:hint="default"/>
      </w:rPr>
    </w:lvl>
    <w:lvl w:ilvl="3" w:tplc="FEDC0BCC">
      <w:start w:val="1"/>
      <w:numFmt w:val="bullet"/>
      <w:lvlText w:val=""/>
      <w:lvlJc w:val="left"/>
      <w:pPr>
        <w:ind w:left="2880" w:hanging="360"/>
      </w:pPr>
      <w:rPr>
        <w:rFonts w:ascii="Symbol" w:hAnsi="Symbol" w:hint="default"/>
      </w:rPr>
    </w:lvl>
    <w:lvl w:ilvl="4" w:tplc="D5CA5914">
      <w:start w:val="1"/>
      <w:numFmt w:val="bullet"/>
      <w:lvlText w:val="o"/>
      <w:lvlJc w:val="left"/>
      <w:pPr>
        <w:ind w:left="3600" w:hanging="360"/>
      </w:pPr>
      <w:rPr>
        <w:rFonts w:ascii="Courier New" w:hAnsi="Courier New" w:hint="default"/>
      </w:rPr>
    </w:lvl>
    <w:lvl w:ilvl="5" w:tplc="CBC854C8">
      <w:start w:val="1"/>
      <w:numFmt w:val="bullet"/>
      <w:lvlText w:val=""/>
      <w:lvlJc w:val="left"/>
      <w:pPr>
        <w:ind w:left="4320" w:hanging="360"/>
      </w:pPr>
      <w:rPr>
        <w:rFonts w:ascii="Wingdings" w:hAnsi="Wingdings" w:hint="default"/>
      </w:rPr>
    </w:lvl>
    <w:lvl w:ilvl="6" w:tplc="0246809E">
      <w:start w:val="1"/>
      <w:numFmt w:val="bullet"/>
      <w:lvlText w:val=""/>
      <w:lvlJc w:val="left"/>
      <w:pPr>
        <w:ind w:left="5040" w:hanging="360"/>
      </w:pPr>
      <w:rPr>
        <w:rFonts w:ascii="Symbol" w:hAnsi="Symbol" w:hint="default"/>
      </w:rPr>
    </w:lvl>
    <w:lvl w:ilvl="7" w:tplc="C3A08B16">
      <w:start w:val="1"/>
      <w:numFmt w:val="bullet"/>
      <w:lvlText w:val="o"/>
      <w:lvlJc w:val="left"/>
      <w:pPr>
        <w:ind w:left="5760" w:hanging="360"/>
      </w:pPr>
      <w:rPr>
        <w:rFonts w:ascii="Courier New" w:hAnsi="Courier New" w:hint="default"/>
      </w:rPr>
    </w:lvl>
    <w:lvl w:ilvl="8" w:tplc="5142D0C2">
      <w:start w:val="1"/>
      <w:numFmt w:val="bullet"/>
      <w:lvlText w:val=""/>
      <w:lvlJc w:val="left"/>
      <w:pPr>
        <w:ind w:left="6480" w:hanging="360"/>
      </w:pPr>
      <w:rPr>
        <w:rFonts w:ascii="Wingdings" w:hAnsi="Wingdings" w:hint="default"/>
      </w:rPr>
    </w:lvl>
  </w:abstractNum>
  <w:abstractNum w:abstractNumId="41" w15:restartNumberingAfterBreak="0">
    <w:nsid w:val="708D10FF"/>
    <w:multiLevelType w:val="hybridMultilevel"/>
    <w:tmpl w:val="6380999E"/>
    <w:lvl w:ilvl="0" w:tplc="E5D0F888">
      <w:start w:val="1"/>
      <w:numFmt w:val="decimal"/>
      <w:lvlText w:val="%1."/>
      <w:lvlJc w:val="left"/>
      <w:pPr>
        <w:ind w:left="959" w:hanging="291"/>
      </w:pPr>
      <w:rPr>
        <w:rFonts w:ascii="Arial MT" w:eastAsia="Arial MT" w:hAnsi="Arial MT" w:cs="Arial MT" w:hint="default"/>
        <w:b w:val="0"/>
        <w:bCs w:val="0"/>
        <w:i w:val="0"/>
        <w:iCs w:val="0"/>
        <w:spacing w:val="0"/>
        <w:w w:val="100"/>
        <w:sz w:val="24"/>
        <w:szCs w:val="24"/>
        <w:lang w:val="es-ES" w:eastAsia="en-US" w:bidi="ar-SA"/>
      </w:rPr>
    </w:lvl>
    <w:lvl w:ilvl="1" w:tplc="1E5884F6">
      <w:numFmt w:val="bullet"/>
      <w:lvlText w:val="•"/>
      <w:lvlJc w:val="left"/>
      <w:pPr>
        <w:ind w:left="1833" w:hanging="291"/>
      </w:pPr>
      <w:rPr>
        <w:rFonts w:hint="default"/>
        <w:lang w:val="es-ES" w:eastAsia="en-US" w:bidi="ar-SA"/>
      </w:rPr>
    </w:lvl>
    <w:lvl w:ilvl="2" w:tplc="3866EF42">
      <w:numFmt w:val="bullet"/>
      <w:lvlText w:val="•"/>
      <w:lvlJc w:val="left"/>
      <w:pPr>
        <w:ind w:left="2707" w:hanging="291"/>
      </w:pPr>
      <w:rPr>
        <w:rFonts w:hint="default"/>
        <w:lang w:val="es-ES" w:eastAsia="en-US" w:bidi="ar-SA"/>
      </w:rPr>
    </w:lvl>
    <w:lvl w:ilvl="3" w:tplc="4FCE108A">
      <w:numFmt w:val="bullet"/>
      <w:lvlText w:val="•"/>
      <w:lvlJc w:val="left"/>
      <w:pPr>
        <w:ind w:left="3581" w:hanging="291"/>
      </w:pPr>
      <w:rPr>
        <w:rFonts w:hint="default"/>
        <w:lang w:val="es-ES" w:eastAsia="en-US" w:bidi="ar-SA"/>
      </w:rPr>
    </w:lvl>
    <w:lvl w:ilvl="4" w:tplc="D6E477D2">
      <w:numFmt w:val="bullet"/>
      <w:lvlText w:val="•"/>
      <w:lvlJc w:val="left"/>
      <w:pPr>
        <w:ind w:left="4455" w:hanging="291"/>
      </w:pPr>
      <w:rPr>
        <w:rFonts w:hint="default"/>
        <w:lang w:val="es-ES" w:eastAsia="en-US" w:bidi="ar-SA"/>
      </w:rPr>
    </w:lvl>
    <w:lvl w:ilvl="5" w:tplc="20DABA20">
      <w:numFmt w:val="bullet"/>
      <w:lvlText w:val="•"/>
      <w:lvlJc w:val="left"/>
      <w:pPr>
        <w:ind w:left="5329" w:hanging="291"/>
      </w:pPr>
      <w:rPr>
        <w:rFonts w:hint="default"/>
        <w:lang w:val="es-ES" w:eastAsia="en-US" w:bidi="ar-SA"/>
      </w:rPr>
    </w:lvl>
    <w:lvl w:ilvl="6" w:tplc="CCC662E0">
      <w:numFmt w:val="bullet"/>
      <w:lvlText w:val="•"/>
      <w:lvlJc w:val="left"/>
      <w:pPr>
        <w:ind w:left="6203" w:hanging="291"/>
      </w:pPr>
      <w:rPr>
        <w:rFonts w:hint="default"/>
        <w:lang w:val="es-ES" w:eastAsia="en-US" w:bidi="ar-SA"/>
      </w:rPr>
    </w:lvl>
    <w:lvl w:ilvl="7" w:tplc="B7E433DE">
      <w:numFmt w:val="bullet"/>
      <w:lvlText w:val="•"/>
      <w:lvlJc w:val="left"/>
      <w:pPr>
        <w:ind w:left="7077" w:hanging="291"/>
      </w:pPr>
      <w:rPr>
        <w:rFonts w:hint="default"/>
        <w:lang w:val="es-ES" w:eastAsia="en-US" w:bidi="ar-SA"/>
      </w:rPr>
    </w:lvl>
    <w:lvl w:ilvl="8" w:tplc="5A00441A">
      <w:numFmt w:val="bullet"/>
      <w:lvlText w:val="•"/>
      <w:lvlJc w:val="left"/>
      <w:pPr>
        <w:ind w:left="7951" w:hanging="291"/>
      </w:pPr>
      <w:rPr>
        <w:rFonts w:hint="default"/>
        <w:lang w:val="es-ES" w:eastAsia="en-US" w:bidi="ar-SA"/>
      </w:rPr>
    </w:lvl>
  </w:abstractNum>
  <w:abstractNum w:abstractNumId="42" w15:restartNumberingAfterBreak="0">
    <w:nsid w:val="725D4DDA"/>
    <w:multiLevelType w:val="hybridMultilevel"/>
    <w:tmpl w:val="5692AEA4"/>
    <w:lvl w:ilvl="0" w:tplc="67164F9E">
      <w:start w:val="1"/>
      <w:numFmt w:val="bullet"/>
      <w:lvlText w:val=""/>
      <w:lvlJc w:val="left"/>
      <w:pPr>
        <w:ind w:left="720" w:hanging="360"/>
      </w:pPr>
      <w:rPr>
        <w:rFonts w:ascii="Symbol" w:hAnsi="Symbol" w:hint="default"/>
      </w:rPr>
    </w:lvl>
    <w:lvl w:ilvl="1" w:tplc="CFD6F172">
      <w:start w:val="1"/>
      <w:numFmt w:val="bullet"/>
      <w:lvlText w:val="o"/>
      <w:lvlJc w:val="left"/>
      <w:pPr>
        <w:ind w:left="1440" w:hanging="360"/>
      </w:pPr>
      <w:rPr>
        <w:rFonts w:ascii="Courier New" w:hAnsi="Courier New" w:hint="default"/>
      </w:rPr>
    </w:lvl>
    <w:lvl w:ilvl="2" w:tplc="37A88F0C">
      <w:start w:val="1"/>
      <w:numFmt w:val="bullet"/>
      <w:lvlText w:val=""/>
      <w:lvlJc w:val="left"/>
      <w:pPr>
        <w:ind w:left="2160" w:hanging="360"/>
      </w:pPr>
      <w:rPr>
        <w:rFonts w:ascii="Wingdings" w:hAnsi="Wingdings" w:hint="default"/>
      </w:rPr>
    </w:lvl>
    <w:lvl w:ilvl="3" w:tplc="6602C0B8">
      <w:start w:val="1"/>
      <w:numFmt w:val="bullet"/>
      <w:lvlText w:val=""/>
      <w:lvlJc w:val="left"/>
      <w:pPr>
        <w:ind w:left="2880" w:hanging="360"/>
      </w:pPr>
      <w:rPr>
        <w:rFonts w:ascii="Symbol" w:hAnsi="Symbol" w:hint="default"/>
      </w:rPr>
    </w:lvl>
    <w:lvl w:ilvl="4" w:tplc="F9DC13E8">
      <w:start w:val="1"/>
      <w:numFmt w:val="bullet"/>
      <w:lvlText w:val="o"/>
      <w:lvlJc w:val="left"/>
      <w:pPr>
        <w:ind w:left="3600" w:hanging="360"/>
      </w:pPr>
      <w:rPr>
        <w:rFonts w:ascii="Courier New" w:hAnsi="Courier New" w:hint="default"/>
      </w:rPr>
    </w:lvl>
    <w:lvl w:ilvl="5" w:tplc="1258F826">
      <w:start w:val="1"/>
      <w:numFmt w:val="bullet"/>
      <w:lvlText w:val=""/>
      <w:lvlJc w:val="left"/>
      <w:pPr>
        <w:ind w:left="4320" w:hanging="360"/>
      </w:pPr>
      <w:rPr>
        <w:rFonts w:ascii="Wingdings" w:hAnsi="Wingdings" w:hint="default"/>
      </w:rPr>
    </w:lvl>
    <w:lvl w:ilvl="6" w:tplc="7C10E2A6">
      <w:start w:val="1"/>
      <w:numFmt w:val="bullet"/>
      <w:lvlText w:val=""/>
      <w:lvlJc w:val="left"/>
      <w:pPr>
        <w:ind w:left="5040" w:hanging="360"/>
      </w:pPr>
      <w:rPr>
        <w:rFonts w:ascii="Symbol" w:hAnsi="Symbol" w:hint="default"/>
      </w:rPr>
    </w:lvl>
    <w:lvl w:ilvl="7" w:tplc="A5566660">
      <w:start w:val="1"/>
      <w:numFmt w:val="bullet"/>
      <w:lvlText w:val="o"/>
      <w:lvlJc w:val="left"/>
      <w:pPr>
        <w:ind w:left="5760" w:hanging="360"/>
      </w:pPr>
      <w:rPr>
        <w:rFonts w:ascii="Courier New" w:hAnsi="Courier New" w:hint="default"/>
      </w:rPr>
    </w:lvl>
    <w:lvl w:ilvl="8" w:tplc="C928B5D6">
      <w:start w:val="1"/>
      <w:numFmt w:val="bullet"/>
      <w:lvlText w:val=""/>
      <w:lvlJc w:val="left"/>
      <w:pPr>
        <w:ind w:left="6480" w:hanging="360"/>
      </w:pPr>
      <w:rPr>
        <w:rFonts w:ascii="Wingdings" w:hAnsi="Wingdings" w:hint="default"/>
      </w:rPr>
    </w:lvl>
  </w:abstractNum>
  <w:abstractNum w:abstractNumId="43" w15:restartNumberingAfterBreak="0">
    <w:nsid w:val="79AB6BDD"/>
    <w:multiLevelType w:val="multilevel"/>
    <w:tmpl w:val="79AB6B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7A107FE3"/>
    <w:multiLevelType w:val="hybridMultilevel"/>
    <w:tmpl w:val="152EE5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F35A8A"/>
    <w:multiLevelType w:val="multilevel"/>
    <w:tmpl w:val="6CC6888E"/>
    <w:lvl w:ilvl="0">
      <w:start w:val="1"/>
      <w:numFmt w:val="decimal"/>
      <w:lvlText w:val="%1."/>
      <w:lvlJc w:val="left"/>
      <w:pPr>
        <w:ind w:left="4267" w:hanging="360"/>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127" w:hanging="569"/>
      </w:pPr>
      <w:rPr>
        <w:spacing w:val="-2"/>
        <w:w w:val="100"/>
        <w:lang w:val="es-ES" w:eastAsia="en-US" w:bidi="ar-SA"/>
      </w:rPr>
    </w:lvl>
    <w:lvl w:ilvl="2">
      <w:numFmt w:val="bullet"/>
      <w:lvlText w:val=""/>
      <w:lvlJc w:val="left"/>
      <w:pPr>
        <w:ind w:left="1288" w:hanging="569"/>
      </w:pPr>
      <w:rPr>
        <w:rFonts w:ascii="Symbol" w:eastAsia="Symbol" w:hAnsi="Symbol" w:cs="Symbol" w:hint="default"/>
        <w:b w:val="0"/>
        <w:bCs w:val="0"/>
        <w:i w:val="0"/>
        <w:iCs w:val="0"/>
        <w:spacing w:val="0"/>
        <w:w w:val="100"/>
        <w:sz w:val="24"/>
        <w:szCs w:val="24"/>
        <w:lang w:val="es-ES" w:eastAsia="en-US" w:bidi="ar-SA"/>
      </w:rPr>
    </w:lvl>
    <w:lvl w:ilvl="3">
      <w:numFmt w:val="bullet"/>
      <w:lvlText w:val="•"/>
      <w:lvlJc w:val="left"/>
      <w:pPr>
        <w:ind w:left="4939" w:hanging="569"/>
      </w:pPr>
      <w:rPr>
        <w:lang w:val="es-ES" w:eastAsia="en-US" w:bidi="ar-SA"/>
      </w:rPr>
    </w:lvl>
    <w:lvl w:ilvl="4">
      <w:numFmt w:val="bullet"/>
      <w:lvlText w:val="•"/>
      <w:lvlJc w:val="left"/>
      <w:pPr>
        <w:ind w:left="5619" w:hanging="569"/>
      </w:pPr>
      <w:rPr>
        <w:lang w:val="es-ES" w:eastAsia="en-US" w:bidi="ar-SA"/>
      </w:rPr>
    </w:lvl>
    <w:lvl w:ilvl="5">
      <w:numFmt w:val="bullet"/>
      <w:lvlText w:val="•"/>
      <w:lvlJc w:val="left"/>
      <w:pPr>
        <w:ind w:left="6299" w:hanging="569"/>
      </w:pPr>
      <w:rPr>
        <w:lang w:val="es-ES" w:eastAsia="en-US" w:bidi="ar-SA"/>
      </w:rPr>
    </w:lvl>
    <w:lvl w:ilvl="6">
      <w:numFmt w:val="bullet"/>
      <w:lvlText w:val="•"/>
      <w:lvlJc w:val="left"/>
      <w:pPr>
        <w:ind w:left="6979" w:hanging="569"/>
      </w:pPr>
      <w:rPr>
        <w:lang w:val="es-ES" w:eastAsia="en-US" w:bidi="ar-SA"/>
      </w:rPr>
    </w:lvl>
    <w:lvl w:ilvl="7">
      <w:numFmt w:val="bullet"/>
      <w:lvlText w:val="•"/>
      <w:lvlJc w:val="left"/>
      <w:pPr>
        <w:ind w:left="7659" w:hanging="569"/>
      </w:pPr>
      <w:rPr>
        <w:lang w:val="es-ES" w:eastAsia="en-US" w:bidi="ar-SA"/>
      </w:rPr>
    </w:lvl>
    <w:lvl w:ilvl="8">
      <w:numFmt w:val="bullet"/>
      <w:lvlText w:val="•"/>
      <w:lvlJc w:val="left"/>
      <w:pPr>
        <w:ind w:left="8339" w:hanging="569"/>
      </w:pPr>
      <w:rPr>
        <w:lang w:val="es-ES" w:eastAsia="en-US" w:bidi="ar-SA"/>
      </w:rPr>
    </w:lvl>
  </w:abstractNum>
  <w:abstractNum w:abstractNumId="46" w15:restartNumberingAfterBreak="0">
    <w:nsid w:val="7C678867"/>
    <w:multiLevelType w:val="hybridMultilevel"/>
    <w:tmpl w:val="11E2779A"/>
    <w:lvl w:ilvl="0" w:tplc="CA92FB0C">
      <w:start w:val="1"/>
      <w:numFmt w:val="bullet"/>
      <w:lvlText w:val=""/>
      <w:lvlJc w:val="left"/>
      <w:pPr>
        <w:ind w:left="720" w:hanging="360"/>
      </w:pPr>
      <w:rPr>
        <w:rFonts w:ascii="Symbol" w:hAnsi="Symbol" w:hint="default"/>
      </w:rPr>
    </w:lvl>
    <w:lvl w:ilvl="1" w:tplc="9F68CB70">
      <w:start w:val="1"/>
      <w:numFmt w:val="bullet"/>
      <w:lvlText w:val="o"/>
      <w:lvlJc w:val="left"/>
      <w:pPr>
        <w:ind w:left="1440" w:hanging="360"/>
      </w:pPr>
      <w:rPr>
        <w:rFonts w:ascii="Courier New" w:hAnsi="Courier New" w:hint="default"/>
      </w:rPr>
    </w:lvl>
    <w:lvl w:ilvl="2" w:tplc="2C925A90">
      <w:start w:val="1"/>
      <w:numFmt w:val="bullet"/>
      <w:lvlText w:val=""/>
      <w:lvlJc w:val="left"/>
      <w:pPr>
        <w:ind w:left="2160" w:hanging="360"/>
      </w:pPr>
      <w:rPr>
        <w:rFonts w:ascii="Wingdings" w:hAnsi="Wingdings" w:hint="default"/>
      </w:rPr>
    </w:lvl>
    <w:lvl w:ilvl="3" w:tplc="CA780B32">
      <w:start w:val="1"/>
      <w:numFmt w:val="bullet"/>
      <w:lvlText w:val=""/>
      <w:lvlJc w:val="left"/>
      <w:pPr>
        <w:ind w:left="2880" w:hanging="360"/>
      </w:pPr>
      <w:rPr>
        <w:rFonts w:ascii="Symbol" w:hAnsi="Symbol" w:hint="default"/>
      </w:rPr>
    </w:lvl>
    <w:lvl w:ilvl="4" w:tplc="F6CCADF0">
      <w:start w:val="1"/>
      <w:numFmt w:val="bullet"/>
      <w:lvlText w:val="o"/>
      <w:lvlJc w:val="left"/>
      <w:pPr>
        <w:ind w:left="3600" w:hanging="360"/>
      </w:pPr>
      <w:rPr>
        <w:rFonts w:ascii="Courier New" w:hAnsi="Courier New" w:hint="default"/>
      </w:rPr>
    </w:lvl>
    <w:lvl w:ilvl="5" w:tplc="60E495F4">
      <w:start w:val="1"/>
      <w:numFmt w:val="bullet"/>
      <w:lvlText w:val=""/>
      <w:lvlJc w:val="left"/>
      <w:pPr>
        <w:ind w:left="4320" w:hanging="360"/>
      </w:pPr>
      <w:rPr>
        <w:rFonts w:ascii="Wingdings" w:hAnsi="Wingdings" w:hint="default"/>
      </w:rPr>
    </w:lvl>
    <w:lvl w:ilvl="6" w:tplc="3AC89620">
      <w:start w:val="1"/>
      <w:numFmt w:val="bullet"/>
      <w:lvlText w:val=""/>
      <w:lvlJc w:val="left"/>
      <w:pPr>
        <w:ind w:left="5040" w:hanging="360"/>
      </w:pPr>
      <w:rPr>
        <w:rFonts w:ascii="Symbol" w:hAnsi="Symbol" w:hint="default"/>
      </w:rPr>
    </w:lvl>
    <w:lvl w:ilvl="7" w:tplc="ACDA9882">
      <w:start w:val="1"/>
      <w:numFmt w:val="bullet"/>
      <w:lvlText w:val="o"/>
      <w:lvlJc w:val="left"/>
      <w:pPr>
        <w:ind w:left="5760" w:hanging="360"/>
      </w:pPr>
      <w:rPr>
        <w:rFonts w:ascii="Courier New" w:hAnsi="Courier New" w:hint="default"/>
      </w:rPr>
    </w:lvl>
    <w:lvl w:ilvl="8" w:tplc="43FEF40A">
      <w:start w:val="1"/>
      <w:numFmt w:val="bullet"/>
      <w:lvlText w:val=""/>
      <w:lvlJc w:val="left"/>
      <w:pPr>
        <w:ind w:left="6480" w:hanging="360"/>
      </w:pPr>
      <w:rPr>
        <w:rFonts w:ascii="Wingdings" w:hAnsi="Wingdings" w:hint="default"/>
      </w:rPr>
    </w:lvl>
  </w:abstractNum>
  <w:abstractNum w:abstractNumId="47" w15:restartNumberingAfterBreak="0">
    <w:nsid w:val="7D919321"/>
    <w:multiLevelType w:val="hybridMultilevel"/>
    <w:tmpl w:val="D41A6338"/>
    <w:lvl w:ilvl="0" w:tplc="CC7C4DD0">
      <w:start w:val="1"/>
      <w:numFmt w:val="bullet"/>
      <w:lvlText w:val="·"/>
      <w:lvlJc w:val="left"/>
      <w:pPr>
        <w:ind w:left="720" w:hanging="360"/>
      </w:pPr>
      <w:rPr>
        <w:rFonts w:ascii="Symbol" w:hAnsi="Symbol" w:hint="default"/>
      </w:rPr>
    </w:lvl>
    <w:lvl w:ilvl="1" w:tplc="90E087C6">
      <w:start w:val="1"/>
      <w:numFmt w:val="bullet"/>
      <w:lvlText w:val="o"/>
      <w:lvlJc w:val="left"/>
      <w:pPr>
        <w:ind w:left="1440" w:hanging="360"/>
      </w:pPr>
      <w:rPr>
        <w:rFonts w:ascii="Courier New" w:hAnsi="Courier New" w:hint="default"/>
      </w:rPr>
    </w:lvl>
    <w:lvl w:ilvl="2" w:tplc="327892DC">
      <w:start w:val="1"/>
      <w:numFmt w:val="bullet"/>
      <w:lvlText w:val=""/>
      <w:lvlJc w:val="left"/>
      <w:pPr>
        <w:ind w:left="2160" w:hanging="360"/>
      </w:pPr>
      <w:rPr>
        <w:rFonts w:ascii="Wingdings" w:hAnsi="Wingdings" w:hint="default"/>
      </w:rPr>
    </w:lvl>
    <w:lvl w:ilvl="3" w:tplc="82DC9252">
      <w:start w:val="1"/>
      <w:numFmt w:val="bullet"/>
      <w:lvlText w:val=""/>
      <w:lvlJc w:val="left"/>
      <w:pPr>
        <w:ind w:left="2880" w:hanging="360"/>
      </w:pPr>
      <w:rPr>
        <w:rFonts w:ascii="Symbol" w:hAnsi="Symbol" w:hint="default"/>
      </w:rPr>
    </w:lvl>
    <w:lvl w:ilvl="4" w:tplc="F19ED946">
      <w:start w:val="1"/>
      <w:numFmt w:val="bullet"/>
      <w:lvlText w:val="o"/>
      <w:lvlJc w:val="left"/>
      <w:pPr>
        <w:ind w:left="3600" w:hanging="360"/>
      </w:pPr>
      <w:rPr>
        <w:rFonts w:ascii="Courier New" w:hAnsi="Courier New" w:hint="default"/>
      </w:rPr>
    </w:lvl>
    <w:lvl w:ilvl="5" w:tplc="D2A46034">
      <w:start w:val="1"/>
      <w:numFmt w:val="bullet"/>
      <w:lvlText w:val=""/>
      <w:lvlJc w:val="left"/>
      <w:pPr>
        <w:ind w:left="4320" w:hanging="360"/>
      </w:pPr>
      <w:rPr>
        <w:rFonts w:ascii="Wingdings" w:hAnsi="Wingdings" w:hint="default"/>
      </w:rPr>
    </w:lvl>
    <w:lvl w:ilvl="6" w:tplc="0F08FEC2">
      <w:start w:val="1"/>
      <w:numFmt w:val="bullet"/>
      <w:lvlText w:val=""/>
      <w:lvlJc w:val="left"/>
      <w:pPr>
        <w:ind w:left="5040" w:hanging="360"/>
      </w:pPr>
      <w:rPr>
        <w:rFonts w:ascii="Symbol" w:hAnsi="Symbol" w:hint="default"/>
      </w:rPr>
    </w:lvl>
    <w:lvl w:ilvl="7" w:tplc="E800D454">
      <w:start w:val="1"/>
      <w:numFmt w:val="bullet"/>
      <w:lvlText w:val="o"/>
      <w:lvlJc w:val="left"/>
      <w:pPr>
        <w:ind w:left="5760" w:hanging="360"/>
      </w:pPr>
      <w:rPr>
        <w:rFonts w:ascii="Courier New" w:hAnsi="Courier New" w:hint="default"/>
      </w:rPr>
    </w:lvl>
    <w:lvl w:ilvl="8" w:tplc="34C86346">
      <w:start w:val="1"/>
      <w:numFmt w:val="bullet"/>
      <w:lvlText w:val=""/>
      <w:lvlJc w:val="left"/>
      <w:pPr>
        <w:ind w:left="6480" w:hanging="360"/>
      </w:pPr>
      <w:rPr>
        <w:rFonts w:ascii="Wingdings" w:hAnsi="Wingdings" w:hint="default"/>
      </w:rPr>
    </w:lvl>
  </w:abstractNum>
  <w:num w:numId="1" w16cid:durableId="500389302">
    <w:abstractNumId w:val="38"/>
  </w:num>
  <w:num w:numId="2" w16cid:durableId="1995716493">
    <w:abstractNumId w:val="37"/>
  </w:num>
  <w:num w:numId="3" w16cid:durableId="346519829">
    <w:abstractNumId w:val="6"/>
  </w:num>
  <w:num w:numId="4" w16cid:durableId="1336687356">
    <w:abstractNumId w:val="20"/>
  </w:num>
  <w:num w:numId="5" w16cid:durableId="1503812102">
    <w:abstractNumId w:val="22"/>
  </w:num>
  <w:num w:numId="6" w16cid:durableId="1975940576">
    <w:abstractNumId w:val="40"/>
  </w:num>
  <w:num w:numId="7" w16cid:durableId="1743677464">
    <w:abstractNumId w:val="42"/>
  </w:num>
  <w:num w:numId="8" w16cid:durableId="1030692497">
    <w:abstractNumId w:val="11"/>
  </w:num>
  <w:num w:numId="9" w16cid:durableId="985351911">
    <w:abstractNumId w:val="36"/>
  </w:num>
  <w:num w:numId="10" w16cid:durableId="625697601">
    <w:abstractNumId w:val="3"/>
  </w:num>
  <w:num w:numId="11" w16cid:durableId="1684355381">
    <w:abstractNumId w:val="46"/>
  </w:num>
  <w:num w:numId="12" w16cid:durableId="1797259884">
    <w:abstractNumId w:val="15"/>
  </w:num>
  <w:num w:numId="13" w16cid:durableId="1520578995">
    <w:abstractNumId w:val="21"/>
  </w:num>
  <w:num w:numId="14" w16cid:durableId="126243388">
    <w:abstractNumId w:val="8"/>
  </w:num>
  <w:num w:numId="15" w16cid:durableId="439419360">
    <w:abstractNumId w:val="30"/>
  </w:num>
  <w:num w:numId="16" w16cid:durableId="214708668">
    <w:abstractNumId w:val="10"/>
  </w:num>
  <w:num w:numId="17" w16cid:durableId="721177630">
    <w:abstractNumId w:val="4"/>
  </w:num>
  <w:num w:numId="18" w16cid:durableId="1926647759">
    <w:abstractNumId w:val="12"/>
  </w:num>
  <w:num w:numId="19" w16cid:durableId="914823917">
    <w:abstractNumId w:val="28"/>
  </w:num>
  <w:num w:numId="20" w16cid:durableId="1343706017">
    <w:abstractNumId w:val="39"/>
  </w:num>
  <w:num w:numId="21" w16cid:durableId="780606142">
    <w:abstractNumId w:val="9"/>
  </w:num>
  <w:num w:numId="22" w16cid:durableId="854071807">
    <w:abstractNumId w:val="14"/>
  </w:num>
  <w:num w:numId="23" w16cid:durableId="603347830">
    <w:abstractNumId w:val="7"/>
  </w:num>
  <w:num w:numId="24" w16cid:durableId="934946425">
    <w:abstractNumId w:val="26"/>
  </w:num>
  <w:num w:numId="25" w16cid:durableId="2106874293">
    <w:abstractNumId w:val="23"/>
  </w:num>
  <w:num w:numId="26" w16cid:durableId="803960783">
    <w:abstractNumId w:val="29"/>
  </w:num>
  <w:num w:numId="27" w16cid:durableId="1462116185">
    <w:abstractNumId w:val="18"/>
  </w:num>
  <w:num w:numId="28" w16cid:durableId="1739746956">
    <w:abstractNumId w:val="47"/>
  </w:num>
  <w:num w:numId="29" w16cid:durableId="6954814">
    <w:abstractNumId w:val="17"/>
  </w:num>
  <w:num w:numId="30" w16cid:durableId="12535232">
    <w:abstractNumId w:val="32"/>
  </w:num>
  <w:num w:numId="31" w16cid:durableId="501169746">
    <w:abstractNumId w:val="27"/>
  </w:num>
  <w:num w:numId="32" w16cid:durableId="1920870327">
    <w:abstractNumId w:val="1"/>
  </w:num>
  <w:num w:numId="33" w16cid:durableId="1759909449">
    <w:abstractNumId w:val="2"/>
  </w:num>
  <w:num w:numId="34" w16cid:durableId="86776386">
    <w:abstractNumId w:val="25"/>
  </w:num>
  <w:num w:numId="35" w16cid:durableId="708724784">
    <w:abstractNumId w:val="5"/>
  </w:num>
  <w:num w:numId="36" w16cid:durableId="748692650">
    <w:abstractNumId w:val="24"/>
  </w:num>
  <w:num w:numId="37" w16cid:durableId="208299249">
    <w:abstractNumId w:val="16"/>
  </w:num>
  <w:num w:numId="38" w16cid:durableId="1868908062">
    <w:abstractNumId w:val="43"/>
  </w:num>
  <w:num w:numId="39" w16cid:durableId="1383366437">
    <w:abstractNumId w:val="31"/>
  </w:num>
  <w:num w:numId="40" w16cid:durableId="2073040254">
    <w:abstractNumId w:val="35"/>
  </w:num>
  <w:num w:numId="41" w16cid:durableId="806125014">
    <w:abstractNumId w:val="44"/>
  </w:num>
  <w:num w:numId="42" w16cid:durableId="313753101">
    <w:abstractNumId w:val="13"/>
  </w:num>
  <w:num w:numId="43" w16cid:durableId="761923576">
    <w:abstractNumId w:val="45"/>
    <w:lvlOverride w:ilvl="0">
      <w:startOverride w:val="1"/>
    </w:lvlOverride>
    <w:lvlOverride w:ilvl="1">
      <w:startOverride w:val="1"/>
    </w:lvlOverride>
    <w:lvlOverride w:ilvl="2"/>
    <w:lvlOverride w:ilvl="3"/>
    <w:lvlOverride w:ilvl="4"/>
    <w:lvlOverride w:ilvl="5"/>
    <w:lvlOverride w:ilvl="6"/>
    <w:lvlOverride w:ilvl="7"/>
    <w:lvlOverride w:ilvl="8"/>
  </w:num>
  <w:num w:numId="44" w16cid:durableId="605887411">
    <w:abstractNumId w:val="41"/>
  </w:num>
  <w:num w:numId="45" w16cid:durableId="1403092591">
    <w:abstractNumId w:val="19"/>
  </w:num>
  <w:num w:numId="46" w16cid:durableId="1762096422">
    <w:abstractNumId w:val="34"/>
  </w:num>
  <w:num w:numId="47" w16cid:durableId="704597688">
    <w:abstractNumId w:val="33"/>
  </w:num>
  <w:num w:numId="48" w16cid:durableId="1131481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2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DC5"/>
    <w:rsid w:val="00003180"/>
    <w:rsid w:val="000062C6"/>
    <w:rsid w:val="00007D0D"/>
    <w:rsid w:val="00020D7E"/>
    <w:rsid w:val="00027F25"/>
    <w:rsid w:val="000307F8"/>
    <w:rsid w:val="00033175"/>
    <w:rsid w:val="00033F1D"/>
    <w:rsid w:val="00037057"/>
    <w:rsid w:val="00046906"/>
    <w:rsid w:val="00047DB5"/>
    <w:rsid w:val="0004B717"/>
    <w:rsid w:val="0005253D"/>
    <w:rsid w:val="000554F6"/>
    <w:rsid w:val="00056785"/>
    <w:rsid w:val="00060C95"/>
    <w:rsid w:val="00061F84"/>
    <w:rsid w:val="00063D71"/>
    <w:rsid w:val="00064548"/>
    <w:rsid w:val="00087871"/>
    <w:rsid w:val="00092205"/>
    <w:rsid w:val="000A324E"/>
    <w:rsid w:val="000A4F03"/>
    <w:rsid w:val="000C55C1"/>
    <w:rsid w:val="000E085C"/>
    <w:rsid w:val="000E5F1C"/>
    <w:rsid w:val="000F3C4E"/>
    <w:rsid w:val="001024B8"/>
    <w:rsid w:val="0010764C"/>
    <w:rsid w:val="0011030A"/>
    <w:rsid w:val="00111AC5"/>
    <w:rsid w:val="001121F8"/>
    <w:rsid w:val="00117713"/>
    <w:rsid w:val="001223A0"/>
    <w:rsid w:val="001224EF"/>
    <w:rsid w:val="00127FB2"/>
    <w:rsid w:val="0013574E"/>
    <w:rsid w:val="00140DE8"/>
    <w:rsid w:val="0014403D"/>
    <w:rsid w:val="0014A6F0"/>
    <w:rsid w:val="00151A23"/>
    <w:rsid w:val="00156159"/>
    <w:rsid w:val="00156DD5"/>
    <w:rsid w:val="00163023"/>
    <w:rsid w:val="001665AB"/>
    <w:rsid w:val="001705A7"/>
    <w:rsid w:val="00172092"/>
    <w:rsid w:val="00172812"/>
    <w:rsid w:val="001854D9"/>
    <w:rsid w:val="001B2DF4"/>
    <w:rsid w:val="001B399B"/>
    <w:rsid w:val="001B4F2D"/>
    <w:rsid w:val="001C5EAC"/>
    <w:rsid w:val="001D1683"/>
    <w:rsid w:val="001D48D4"/>
    <w:rsid w:val="001E0BB9"/>
    <w:rsid w:val="001E247D"/>
    <w:rsid w:val="001E5A50"/>
    <w:rsid w:val="001F3040"/>
    <w:rsid w:val="00200784"/>
    <w:rsid w:val="00200F15"/>
    <w:rsid w:val="002026AF"/>
    <w:rsid w:val="00205DAD"/>
    <w:rsid w:val="0020780C"/>
    <w:rsid w:val="002131D4"/>
    <w:rsid w:val="00215BD4"/>
    <w:rsid w:val="00221D34"/>
    <w:rsid w:val="00252020"/>
    <w:rsid w:val="00270FB9"/>
    <w:rsid w:val="00277470"/>
    <w:rsid w:val="00285585"/>
    <w:rsid w:val="002865B3"/>
    <w:rsid w:val="00293217"/>
    <w:rsid w:val="002946DF"/>
    <w:rsid w:val="00296F5D"/>
    <w:rsid w:val="002A368C"/>
    <w:rsid w:val="002A44DE"/>
    <w:rsid w:val="002A792B"/>
    <w:rsid w:val="002C12AB"/>
    <w:rsid w:val="002C28C3"/>
    <w:rsid w:val="002CC034"/>
    <w:rsid w:val="002D0A02"/>
    <w:rsid w:val="002E7BC0"/>
    <w:rsid w:val="00301F02"/>
    <w:rsid w:val="003105C1"/>
    <w:rsid w:val="0033032E"/>
    <w:rsid w:val="00331434"/>
    <w:rsid w:val="00346957"/>
    <w:rsid w:val="0035202A"/>
    <w:rsid w:val="00370017"/>
    <w:rsid w:val="00383F21"/>
    <w:rsid w:val="00390F74"/>
    <w:rsid w:val="00393C66"/>
    <w:rsid w:val="003959FE"/>
    <w:rsid w:val="003A135D"/>
    <w:rsid w:val="003A28EC"/>
    <w:rsid w:val="003B11BF"/>
    <w:rsid w:val="003B1FD2"/>
    <w:rsid w:val="003B7398"/>
    <w:rsid w:val="003D29FA"/>
    <w:rsid w:val="003E0FD5"/>
    <w:rsid w:val="003E2384"/>
    <w:rsid w:val="003E7DA0"/>
    <w:rsid w:val="003F7A4F"/>
    <w:rsid w:val="00415565"/>
    <w:rsid w:val="00420FF3"/>
    <w:rsid w:val="00437A9C"/>
    <w:rsid w:val="00443469"/>
    <w:rsid w:val="00444D1D"/>
    <w:rsid w:val="004513C1"/>
    <w:rsid w:val="00452BC6"/>
    <w:rsid w:val="00462253"/>
    <w:rsid w:val="00462CA5"/>
    <w:rsid w:val="00463A75"/>
    <w:rsid w:val="00470DD1"/>
    <w:rsid w:val="00492E9F"/>
    <w:rsid w:val="004A1838"/>
    <w:rsid w:val="004A7E67"/>
    <w:rsid w:val="004C4EC4"/>
    <w:rsid w:val="004C57A9"/>
    <w:rsid w:val="004C5A89"/>
    <w:rsid w:val="004E398F"/>
    <w:rsid w:val="004E40D6"/>
    <w:rsid w:val="0050343C"/>
    <w:rsid w:val="005055CA"/>
    <w:rsid w:val="0054372A"/>
    <w:rsid w:val="00553A0F"/>
    <w:rsid w:val="00583A58"/>
    <w:rsid w:val="00584DC5"/>
    <w:rsid w:val="00593D6F"/>
    <w:rsid w:val="005A10B9"/>
    <w:rsid w:val="005A1BA3"/>
    <w:rsid w:val="005A1C3C"/>
    <w:rsid w:val="005A325C"/>
    <w:rsid w:val="005A55D8"/>
    <w:rsid w:val="005B30BE"/>
    <w:rsid w:val="005B7BDF"/>
    <w:rsid w:val="005D306F"/>
    <w:rsid w:val="005D4072"/>
    <w:rsid w:val="005D604C"/>
    <w:rsid w:val="005D693C"/>
    <w:rsid w:val="005D76A8"/>
    <w:rsid w:val="005E120B"/>
    <w:rsid w:val="005E79B1"/>
    <w:rsid w:val="005F335D"/>
    <w:rsid w:val="005F67C9"/>
    <w:rsid w:val="00607526"/>
    <w:rsid w:val="00625149"/>
    <w:rsid w:val="00626496"/>
    <w:rsid w:val="00632D54"/>
    <w:rsid w:val="0066345A"/>
    <w:rsid w:val="006649C7"/>
    <w:rsid w:val="006660E4"/>
    <w:rsid w:val="006661FC"/>
    <w:rsid w:val="006771D5"/>
    <w:rsid w:val="00682A22"/>
    <w:rsid w:val="00684321"/>
    <w:rsid w:val="006864F8"/>
    <w:rsid w:val="00687EE6"/>
    <w:rsid w:val="00693B2A"/>
    <w:rsid w:val="0069682E"/>
    <w:rsid w:val="006A3976"/>
    <w:rsid w:val="006B4CF3"/>
    <w:rsid w:val="006D35B4"/>
    <w:rsid w:val="006E1604"/>
    <w:rsid w:val="006F0716"/>
    <w:rsid w:val="006F213B"/>
    <w:rsid w:val="0070755C"/>
    <w:rsid w:val="00711DEA"/>
    <w:rsid w:val="00713F9C"/>
    <w:rsid w:val="00730053"/>
    <w:rsid w:val="007304E3"/>
    <w:rsid w:val="00732919"/>
    <w:rsid w:val="0075158C"/>
    <w:rsid w:val="00751FB2"/>
    <w:rsid w:val="0076605A"/>
    <w:rsid w:val="00773E52"/>
    <w:rsid w:val="00777274"/>
    <w:rsid w:val="00786395"/>
    <w:rsid w:val="007926D9"/>
    <w:rsid w:val="0079611E"/>
    <w:rsid w:val="007A2040"/>
    <w:rsid w:val="007B0444"/>
    <w:rsid w:val="007B47F8"/>
    <w:rsid w:val="007B6808"/>
    <w:rsid w:val="007D4909"/>
    <w:rsid w:val="007D5FDC"/>
    <w:rsid w:val="007E22F6"/>
    <w:rsid w:val="007F15A9"/>
    <w:rsid w:val="008013B6"/>
    <w:rsid w:val="00801F5A"/>
    <w:rsid w:val="00804255"/>
    <w:rsid w:val="00811A29"/>
    <w:rsid w:val="008164F9"/>
    <w:rsid w:val="008171B1"/>
    <w:rsid w:val="008373FB"/>
    <w:rsid w:val="00847181"/>
    <w:rsid w:val="00862105"/>
    <w:rsid w:val="00867DF8"/>
    <w:rsid w:val="00894F1E"/>
    <w:rsid w:val="008A4316"/>
    <w:rsid w:val="008B6E95"/>
    <w:rsid w:val="008E05EA"/>
    <w:rsid w:val="008E11A9"/>
    <w:rsid w:val="008E3C97"/>
    <w:rsid w:val="008E663B"/>
    <w:rsid w:val="00957D62"/>
    <w:rsid w:val="009660F9"/>
    <w:rsid w:val="00981988"/>
    <w:rsid w:val="00991EF9"/>
    <w:rsid w:val="009945CD"/>
    <w:rsid w:val="0099481D"/>
    <w:rsid w:val="009A71F5"/>
    <w:rsid w:val="009D16C7"/>
    <w:rsid w:val="009D56BC"/>
    <w:rsid w:val="009E52F7"/>
    <w:rsid w:val="009E5483"/>
    <w:rsid w:val="009F0287"/>
    <w:rsid w:val="00A0257B"/>
    <w:rsid w:val="00A045EA"/>
    <w:rsid w:val="00A06885"/>
    <w:rsid w:val="00A21AA2"/>
    <w:rsid w:val="00A24C6C"/>
    <w:rsid w:val="00A33F95"/>
    <w:rsid w:val="00A347AF"/>
    <w:rsid w:val="00A549C3"/>
    <w:rsid w:val="00A71C67"/>
    <w:rsid w:val="00A7427F"/>
    <w:rsid w:val="00A869E6"/>
    <w:rsid w:val="00A87D1D"/>
    <w:rsid w:val="00A91B31"/>
    <w:rsid w:val="00A91B9C"/>
    <w:rsid w:val="00A93D2E"/>
    <w:rsid w:val="00A9433E"/>
    <w:rsid w:val="00A95722"/>
    <w:rsid w:val="00AA024D"/>
    <w:rsid w:val="00AA74F6"/>
    <w:rsid w:val="00AA78E1"/>
    <w:rsid w:val="00AB3EBB"/>
    <w:rsid w:val="00AB555C"/>
    <w:rsid w:val="00AC1886"/>
    <w:rsid w:val="00AC2941"/>
    <w:rsid w:val="00AD6B08"/>
    <w:rsid w:val="00AF3A05"/>
    <w:rsid w:val="00B01913"/>
    <w:rsid w:val="00B03494"/>
    <w:rsid w:val="00B0427E"/>
    <w:rsid w:val="00B05CB9"/>
    <w:rsid w:val="00B07990"/>
    <w:rsid w:val="00B10B92"/>
    <w:rsid w:val="00B22529"/>
    <w:rsid w:val="00B23F45"/>
    <w:rsid w:val="00B256F8"/>
    <w:rsid w:val="00B34718"/>
    <w:rsid w:val="00B469FA"/>
    <w:rsid w:val="00B522B4"/>
    <w:rsid w:val="00B54CCF"/>
    <w:rsid w:val="00B577D8"/>
    <w:rsid w:val="00B61170"/>
    <w:rsid w:val="00B6608E"/>
    <w:rsid w:val="00B70A0D"/>
    <w:rsid w:val="00B826AA"/>
    <w:rsid w:val="00B8563C"/>
    <w:rsid w:val="00BB0F5B"/>
    <w:rsid w:val="00BC1482"/>
    <w:rsid w:val="00BC18B2"/>
    <w:rsid w:val="00BD3A61"/>
    <w:rsid w:val="00BD43DE"/>
    <w:rsid w:val="00BE220B"/>
    <w:rsid w:val="00BE3E8C"/>
    <w:rsid w:val="00C07A7C"/>
    <w:rsid w:val="00C138FC"/>
    <w:rsid w:val="00C142EF"/>
    <w:rsid w:val="00C16C46"/>
    <w:rsid w:val="00C21C9D"/>
    <w:rsid w:val="00C30131"/>
    <w:rsid w:val="00C347BD"/>
    <w:rsid w:val="00C45958"/>
    <w:rsid w:val="00C45A0A"/>
    <w:rsid w:val="00C4753C"/>
    <w:rsid w:val="00C4798D"/>
    <w:rsid w:val="00C75343"/>
    <w:rsid w:val="00C760EF"/>
    <w:rsid w:val="00C8139A"/>
    <w:rsid w:val="00C95B6D"/>
    <w:rsid w:val="00CC26D9"/>
    <w:rsid w:val="00CC724A"/>
    <w:rsid w:val="00CD052C"/>
    <w:rsid w:val="00CE35CB"/>
    <w:rsid w:val="00CF3760"/>
    <w:rsid w:val="00D011BC"/>
    <w:rsid w:val="00D0394C"/>
    <w:rsid w:val="00D311B8"/>
    <w:rsid w:val="00D33995"/>
    <w:rsid w:val="00D3491E"/>
    <w:rsid w:val="00D3662A"/>
    <w:rsid w:val="00D41152"/>
    <w:rsid w:val="00D43AE8"/>
    <w:rsid w:val="00D47C5F"/>
    <w:rsid w:val="00D52068"/>
    <w:rsid w:val="00D53D3A"/>
    <w:rsid w:val="00D54CAC"/>
    <w:rsid w:val="00DC5CCE"/>
    <w:rsid w:val="00DC6D5E"/>
    <w:rsid w:val="00DD4E49"/>
    <w:rsid w:val="00DD64DD"/>
    <w:rsid w:val="00DE59DF"/>
    <w:rsid w:val="00DF2380"/>
    <w:rsid w:val="00E11717"/>
    <w:rsid w:val="00E14515"/>
    <w:rsid w:val="00E234E5"/>
    <w:rsid w:val="00E302B1"/>
    <w:rsid w:val="00E47146"/>
    <w:rsid w:val="00E52817"/>
    <w:rsid w:val="00E83CD9"/>
    <w:rsid w:val="00E83CDA"/>
    <w:rsid w:val="00E84859"/>
    <w:rsid w:val="00E942C2"/>
    <w:rsid w:val="00EB1C0C"/>
    <w:rsid w:val="00EB4FD7"/>
    <w:rsid w:val="00ED2376"/>
    <w:rsid w:val="00ED28B2"/>
    <w:rsid w:val="00EE2573"/>
    <w:rsid w:val="00EF05AD"/>
    <w:rsid w:val="00F02B5C"/>
    <w:rsid w:val="00F112C2"/>
    <w:rsid w:val="00F1168B"/>
    <w:rsid w:val="00F256BE"/>
    <w:rsid w:val="00F4107F"/>
    <w:rsid w:val="00F45FF9"/>
    <w:rsid w:val="00F536B7"/>
    <w:rsid w:val="00F5548A"/>
    <w:rsid w:val="00F92643"/>
    <w:rsid w:val="00FB5815"/>
    <w:rsid w:val="00FC3921"/>
    <w:rsid w:val="00FC3A54"/>
    <w:rsid w:val="00FD1094"/>
    <w:rsid w:val="00FD4EE6"/>
    <w:rsid w:val="00FE230F"/>
    <w:rsid w:val="00FF38E1"/>
    <w:rsid w:val="00FF5013"/>
    <w:rsid w:val="010319B7"/>
    <w:rsid w:val="02130DA6"/>
    <w:rsid w:val="026BD3E3"/>
    <w:rsid w:val="03504F59"/>
    <w:rsid w:val="0507B865"/>
    <w:rsid w:val="051E58D1"/>
    <w:rsid w:val="05C797B0"/>
    <w:rsid w:val="06C9941B"/>
    <w:rsid w:val="0701AE70"/>
    <w:rsid w:val="0775C35D"/>
    <w:rsid w:val="077E97B6"/>
    <w:rsid w:val="081952F6"/>
    <w:rsid w:val="08F03321"/>
    <w:rsid w:val="09D78EA3"/>
    <w:rsid w:val="0AADCD13"/>
    <w:rsid w:val="0B99DDD7"/>
    <w:rsid w:val="0BC7026B"/>
    <w:rsid w:val="0BE98B60"/>
    <w:rsid w:val="0C519DC3"/>
    <w:rsid w:val="0CBA06F2"/>
    <w:rsid w:val="0D50126A"/>
    <w:rsid w:val="0D5D8B51"/>
    <w:rsid w:val="0E475DDF"/>
    <w:rsid w:val="0EA46D82"/>
    <w:rsid w:val="0F05F2A7"/>
    <w:rsid w:val="0F068B3E"/>
    <w:rsid w:val="0F4E6958"/>
    <w:rsid w:val="0F9D684A"/>
    <w:rsid w:val="100BFEFF"/>
    <w:rsid w:val="1047A7AA"/>
    <w:rsid w:val="107FC2FE"/>
    <w:rsid w:val="10E322E0"/>
    <w:rsid w:val="10E49E02"/>
    <w:rsid w:val="116AF240"/>
    <w:rsid w:val="118B1144"/>
    <w:rsid w:val="11D57B4A"/>
    <w:rsid w:val="12423E12"/>
    <w:rsid w:val="12E3588D"/>
    <w:rsid w:val="133A7FB5"/>
    <w:rsid w:val="1348CBC3"/>
    <w:rsid w:val="134CBA68"/>
    <w:rsid w:val="13C9CB62"/>
    <w:rsid w:val="156B49DC"/>
    <w:rsid w:val="159AD5ED"/>
    <w:rsid w:val="164B4943"/>
    <w:rsid w:val="167BC640"/>
    <w:rsid w:val="16DDC860"/>
    <w:rsid w:val="17F7A09B"/>
    <w:rsid w:val="1885556B"/>
    <w:rsid w:val="18C1DFED"/>
    <w:rsid w:val="18ED1977"/>
    <w:rsid w:val="191BE70E"/>
    <w:rsid w:val="1A2A0E2B"/>
    <w:rsid w:val="1A3AC649"/>
    <w:rsid w:val="1B4DFEE8"/>
    <w:rsid w:val="1C2B4055"/>
    <w:rsid w:val="1CA7CB82"/>
    <w:rsid w:val="1CC09790"/>
    <w:rsid w:val="1CDEBE26"/>
    <w:rsid w:val="1D515424"/>
    <w:rsid w:val="1D6B8D2A"/>
    <w:rsid w:val="1DCC0AF5"/>
    <w:rsid w:val="1DEDB5E9"/>
    <w:rsid w:val="1EF5C48F"/>
    <w:rsid w:val="1F518A91"/>
    <w:rsid w:val="1FB55B87"/>
    <w:rsid w:val="1FC6155B"/>
    <w:rsid w:val="2092C414"/>
    <w:rsid w:val="211A13EA"/>
    <w:rsid w:val="21C86F82"/>
    <w:rsid w:val="221B8DB3"/>
    <w:rsid w:val="2297448D"/>
    <w:rsid w:val="23148578"/>
    <w:rsid w:val="231BF705"/>
    <w:rsid w:val="239B130A"/>
    <w:rsid w:val="2437909C"/>
    <w:rsid w:val="24454627"/>
    <w:rsid w:val="250BFA8A"/>
    <w:rsid w:val="25427931"/>
    <w:rsid w:val="268D93E0"/>
    <w:rsid w:val="26CF67F2"/>
    <w:rsid w:val="27800EAD"/>
    <w:rsid w:val="27BA9BC7"/>
    <w:rsid w:val="282C16DA"/>
    <w:rsid w:val="28503431"/>
    <w:rsid w:val="286B75A0"/>
    <w:rsid w:val="293DA397"/>
    <w:rsid w:val="2952E058"/>
    <w:rsid w:val="2957BB78"/>
    <w:rsid w:val="299A0669"/>
    <w:rsid w:val="2A2478EA"/>
    <w:rsid w:val="2A653E3D"/>
    <w:rsid w:val="2A8186F1"/>
    <w:rsid w:val="2C3D6240"/>
    <w:rsid w:val="2C79D88A"/>
    <w:rsid w:val="2CEB0767"/>
    <w:rsid w:val="2DB98701"/>
    <w:rsid w:val="2EEE57D8"/>
    <w:rsid w:val="2EFBDF2E"/>
    <w:rsid w:val="2F0226EB"/>
    <w:rsid w:val="2F155CB6"/>
    <w:rsid w:val="30132E85"/>
    <w:rsid w:val="303312B5"/>
    <w:rsid w:val="3062CDCE"/>
    <w:rsid w:val="339674BB"/>
    <w:rsid w:val="33E009FB"/>
    <w:rsid w:val="346AF6B2"/>
    <w:rsid w:val="351B7815"/>
    <w:rsid w:val="356B5861"/>
    <w:rsid w:val="35752C0C"/>
    <w:rsid w:val="35A70421"/>
    <w:rsid w:val="36969CC4"/>
    <w:rsid w:val="36B0BE7C"/>
    <w:rsid w:val="373AE85C"/>
    <w:rsid w:val="38C33B86"/>
    <w:rsid w:val="392D115F"/>
    <w:rsid w:val="3932A81E"/>
    <w:rsid w:val="3A1E8CF9"/>
    <w:rsid w:val="3AFCE247"/>
    <w:rsid w:val="3B1F510C"/>
    <w:rsid w:val="3B9DB986"/>
    <w:rsid w:val="3D352CA0"/>
    <w:rsid w:val="3DB44D39"/>
    <w:rsid w:val="3DDED17F"/>
    <w:rsid w:val="3E081C40"/>
    <w:rsid w:val="3EAF0895"/>
    <w:rsid w:val="40BF380A"/>
    <w:rsid w:val="41351D6D"/>
    <w:rsid w:val="416979E1"/>
    <w:rsid w:val="41711B6E"/>
    <w:rsid w:val="4185D893"/>
    <w:rsid w:val="41B45332"/>
    <w:rsid w:val="41D2BE57"/>
    <w:rsid w:val="41D97316"/>
    <w:rsid w:val="421BA055"/>
    <w:rsid w:val="430B1344"/>
    <w:rsid w:val="43D4A58A"/>
    <w:rsid w:val="43F4AF3E"/>
    <w:rsid w:val="4413261E"/>
    <w:rsid w:val="44972A76"/>
    <w:rsid w:val="456AF758"/>
    <w:rsid w:val="460B02DF"/>
    <w:rsid w:val="46E3DADF"/>
    <w:rsid w:val="46FD720B"/>
    <w:rsid w:val="47818C80"/>
    <w:rsid w:val="479F2AC5"/>
    <w:rsid w:val="480F46F1"/>
    <w:rsid w:val="48458CDA"/>
    <w:rsid w:val="486C0E39"/>
    <w:rsid w:val="48F56569"/>
    <w:rsid w:val="4A085674"/>
    <w:rsid w:val="4A164096"/>
    <w:rsid w:val="4AC9FCB7"/>
    <w:rsid w:val="4BAD1494"/>
    <w:rsid w:val="4BB90D27"/>
    <w:rsid w:val="4C4C8E4A"/>
    <w:rsid w:val="4CA2AFDB"/>
    <w:rsid w:val="4CC21B74"/>
    <w:rsid w:val="4D1107FD"/>
    <w:rsid w:val="4DA209F0"/>
    <w:rsid w:val="4DE8838C"/>
    <w:rsid w:val="4E8A8D25"/>
    <w:rsid w:val="4EE95843"/>
    <w:rsid w:val="4EF2FE6D"/>
    <w:rsid w:val="4EF54655"/>
    <w:rsid w:val="4F9A848E"/>
    <w:rsid w:val="4FCA6A35"/>
    <w:rsid w:val="502DABD4"/>
    <w:rsid w:val="503D48B8"/>
    <w:rsid w:val="50B22087"/>
    <w:rsid w:val="5174C41D"/>
    <w:rsid w:val="51C013D3"/>
    <w:rsid w:val="51D81D6D"/>
    <w:rsid w:val="51D8C19B"/>
    <w:rsid w:val="522A324F"/>
    <w:rsid w:val="523540D3"/>
    <w:rsid w:val="52CA4875"/>
    <w:rsid w:val="52F17AB1"/>
    <w:rsid w:val="5351624B"/>
    <w:rsid w:val="53DB11AE"/>
    <w:rsid w:val="5533CA96"/>
    <w:rsid w:val="55BEC8B2"/>
    <w:rsid w:val="5634B54A"/>
    <w:rsid w:val="57A73E70"/>
    <w:rsid w:val="57ACE747"/>
    <w:rsid w:val="57B221A4"/>
    <w:rsid w:val="57BE677A"/>
    <w:rsid w:val="58E0D6F5"/>
    <w:rsid w:val="58F0F4E7"/>
    <w:rsid w:val="597B226B"/>
    <w:rsid w:val="5ACE43DA"/>
    <w:rsid w:val="5B322D5D"/>
    <w:rsid w:val="5B607155"/>
    <w:rsid w:val="5C699F13"/>
    <w:rsid w:val="5C8A3F96"/>
    <w:rsid w:val="5D414184"/>
    <w:rsid w:val="5DC6391E"/>
    <w:rsid w:val="5DD36908"/>
    <w:rsid w:val="5E59E83C"/>
    <w:rsid w:val="5E81429D"/>
    <w:rsid w:val="602CE9DC"/>
    <w:rsid w:val="608D8C08"/>
    <w:rsid w:val="60D671C4"/>
    <w:rsid w:val="61D75947"/>
    <w:rsid w:val="61EECFC1"/>
    <w:rsid w:val="62CA51DA"/>
    <w:rsid w:val="63413E64"/>
    <w:rsid w:val="63B03C7A"/>
    <w:rsid w:val="63D7BFEC"/>
    <w:rsid w:val="6420DC2E"/>
    <w:rsid w:val="64A3105C"/>
    <w:rsid w:val="64BD52DA"/>
    <w:rsid w:val="651CF617"/>
    <w:rsid w:val="65203F8F"/>
    <w:rsid w:val="67DC3EDF"/>
    <w:rsid w:val="681938D6"/>
    <w:rsid w:val="68298A80"/>
    <w:rsid w:val="683DA0DB"/>
    <w:rsid w:val="68A57938"/>
    <w:rsid w:val="68DECC27"/>
    <w:rsid w:val="6B2662DB"/>
    <w:rsid w:val="6B29FE0E"/>
    <w:rsid w:val="6B3EFA2A"/>
    <w:rsid w:val="6B4B4A16"/>
    <w:rsid w:val="6B989B13"/>
    <w:rsid w:val="6BA23FC0"/>
    <w:rsid w:val="6C37B1B0"/>
    <w:rsid w:val="6C942325"/>
    <w:rsid w:val="6DA1E169"/>
    <w:rsid w:val="6DC7A895"/>
    <w:rsid w:val="6EF30555"/>
    <w:rsid w:val="70324574"/>
    <w:rsid w:val="70FBEAF1"/>
    <w:rsid w:val="71577930"/>
    <w:rsid w:val="71EE4530"/>
    <w:rsid w:val="7278ECEB"/>
    <w:rsid w:val="72DEAB04"/>
    <w:rsid w:val="734309F5"/>
    <w:rsid w:val="74044E05"/>
    <w:rsid w:val="742671E6"/>
    <w:rsid w:val="75D830D7"/>
    <w:rsid w:val="75DA8059"/>
    <w:rsid w:val="7621F302"/>
    <w:rsid w:val="7631BE70"/>
    <w:rsid w:val="765148B3"/>
    <w:rsid w:val="76EABBD8"/>
    <w:rsid w:val="7757BB2F"/>
    <w:rsid w:val="77EF37F0"/>
    <w:rsid w:val="783825DE"/>
    <w:rsid w:val="79012112"/>
    <w:rsid w:val="7934374D"/>
    <w:rsid w:val="79616156"/>
    <w:rsid w:val="7A55C4BF"/>
    <w:rsid w:val="7AF78991"/>
    <w:rsid w:val="7B33CAC5"/>
    <w:rsid w:val="7C32D421"/>
    <w:rsid w:val="7D0B8A02"/>
    <w:rsid w:val="7D36812B"/>
    <w:rsid w:val="7EEDF23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7D833"/>
  <w15:docId w15:val="{004EA8E9-279D-4198-8E3E-39A9283A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526"/>
    <w:pPr>
      <w:widowControl w:val="0"/>
      <w:jc w:val="both"/>
    </w:pPr>
    <w:rPr>
      <w:rFonts w:ascii="Arial" w:hAnsi="Arial"/>
      <w:color w:val="000000"/>
      <w:sz w:val="24"/>
      <w:szCs w:val="24"/>
    </w:rPr>
  </w:style>
  <w:style w:type="paragraph" w:styleId="Ttulo1">
    <w:name w:val="heading 1"/>
    <w:basedOn w:val="Normal"/>
    <w:next w:val="Normal"/>
    <w:qFormat/>
    <w:pPr>
      <w:keepNext/>
      <w:jc w:val="center"/>
      <w:outlineLvl w:val="0"/>
    </w:pPr>
    <w:rPr>
      <w:caps/>
      <w:color w:val="auto"/>
    </w:rPr>
  </w:style>
  <w:style w:type="paragraph" w:styleId="Ttulo2">
    <w:name w:val="heading 2"/>
    <w:basedOn w:val="Normal"/>
    <w:next w:val="Normal"/>
    <w:qFormat/>
    <w:pPr>
      <w:keepNext/>
      <w:keepLines/>
      <w:widowControl/>
      <w:jc w:val="left"/>
      <w:outlineLvl w:val="1"/>
    </w:pPr>
    <w:rPr>
      <w:caps/>
    </w:rPr>
  </w:style>
  <w:style w:type="paragraph" w:styleId="Ttulo3">
    <w:name w:val="heading 3"/>
    <w:basedOn w:val="Normal"/>
    <w:next w:val="Normal"/>
    <w:autoRedefine/>
    <w:qFormat/>
    <w:rsid w:val="003A135D"/>
    <w:pPr>
      <w:keepNext/>
      <w:keepLines/>
      <w:widowControl/>
      <w:outlineLvl w:val="2"/>
    </w:pPr>
    <w:rPr>
      <w:b/>
      <w:color w:val="auto"/>
    </w:rPr>
  </w:style>
  <w:style w:type="paragraph" w:styleId="Ttulo4">
    <w:name w:val="heading 4"/>
    <w:basedOn w:val="Normal"/>
    <w:next w:val="Normal"/>
    <w:pPr>
      <w:keepNext/>
      <w:spacing w:after="60" w:line="276" w:lineRule="auto"/>
      <w:ind w:firstLine="862"/>
      <w:outlineLvl w:val="3"/>
    </w:pPr>
    <w:rPr>
      <w:b/>
      <w:i/>
    </w:rPr>
  </w:style>
  <w:style w:type="paragraph" w:styleId="Ttulo5">
    <w:name w:val="heading 5"/>
    <w:basedOn w:val="Normal"/>
    <w:next w:val="Normal"/>
    <w:pPr>
      <w:keepNext/>
      <w:keepLines/>
      <w:spacing w:before="200"/>
      <w:ind w:left="1008" w:hanging="1008"/>
      <w:outlineLvl w:val="4"/>
    </w:pPr>
    <w:rPr>
      <w:rFonts w:ascii="Cambria" w:eastAsia="Cambria" w:hAnsi="Cambria" w:cs="Cambria"/>
      <w:color w:val="243F61"/>
    </w:rPr>
  </w:style>
  <w:style w:type="paragraph" w:styleId="Ttulo6">
    <w:name w:val="heading 6"/>
    <w:basedOn w:val="Normal"/>
    <w:next w:val="Normal"/>
    <w:pPr>
      <w:keepNext/>
      <w:keepLines/>
      <w:spacing w:before="200"/>
      <w:ind w:left="1152" w:hanging="1152"/>
      <w:outlineLvl w:val="5"/>
    </w:pPr>
    <w:rPr>
      <w:rFonts w:ascii="Cambria" w:eastAsia="Cambria" w:hAnsi="Cambria" w:cs="Cambria"/>
      <w:i/>
      <w:color w:val="243F6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Segoe UI" w:hAnsi="Segoe UI" w:cs="Segoe UI"/>
      <w:sz w:val="18"/>
      <w:szCs w:val="18"/>
    </w:rPr>
  </w:style>
  <w:style w:type="paragraph" w:styleId="Descripcin">
    <w:name w:val="caption"/>
    <w:basedOn w:val="Normal"/>
    <w:next w:val="Normal"/>
    <w:uiPriority w:val="35"/>
    <w:unhideWhenUsed/>
    <w:qFormat/>
    <w:pPr>
      <w:spacing w:after="200"/>
    </w:pPr>
    <w:rPr>
      <w:i/>
      <w:iCs/>
      <w:color w:val="44546A" w:themeColor="text2"/>
      <w:sz w:val="18"/>
      <w:szCs w:val="18"/>
    </w:r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rPr>
      <w:sz w:val="20"/>
      <w:szCs w:val="20"/>
    </w:rPr>
  </w:style>
  <w:style w:type="paragraph" w:styleId="Piedepgina">
    <w:name w:val="footer"/>
    <w:basedOn w:val="Normal"/>
    <w:link w:val="PiedepginaCar"/>
    <w:uiPriority w:val="99"/>
    <w:unhideWhenUsed/>
    <w:pPr>
      <w:tabs>
        <w:tab w:val="center" w:pos="4419"/>
        <w:tab w:val="right" w:pos="8838"/>
      </w:tabs>
    </w:pPr>
  </w:style>
  <w:style w:type="character" w:styleId="Refdenotaalpie">
    <w:name w:val="footnote reference"/>
    <w:basedOn w:val="Fuentedeprrafopredeter"/>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paragraph" w:styleId="Encabezado">
    <w:name w:val="header"/>
    <w:basedOn w:val="Normal"/>
    <w:link w:val="EncabezadoCar"/>
    <w:uiPriority w:val="99"/>
    <w:unhideWhenUsed/>
    <w:pPr>
      <w:tabs>
        <w:tab w:val="center" w:pos="4419"/>
        <w:tab w:val="right" w:pos="8838"/>
      </w:tabs>
    </w:pPr>
  </w:style>
  <w:style w:type="character" w:styleId="Hipervnculo">
    <w:name w:val="Hyperlink"/>
    <w:basedOn w:val="Fuentedeprrafopredeter"/>
    <w:uiPriority w:val="99"/>
    <w:unhideWhenUsed/>
    <w:rPr>
      <w:color w:val="0563C1" w:themeColor="hyperlink"/>
      <w:u w:val="single"/>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pPr>
      <w:ind w:left="480" w:hanging="480"/>
      <w:jc w:val="left"/>
    </w:pPr>
    <w:rPr>
      <w:rFonts w:asciiTheme="minorHAnsi" w:hAnsiTheme="minorHAnsi"/>
      <w:smallCaps/>
      <w:sz w:val="20"/>
      <w:szCs w:val="20"/>
    </w:rPr>
  </w:style>
  <w:style w:type="paragraph" w:styleId="Ttulo">
    <w:name w:val="Title"/>
    <w:basedOn w:val="Normal"/>
    <w:next w:val="Normal"/>
    <w:pPr>
      <w:spacing w:before="300" w:after="600"/>
      <w:jc w:val="center"/>
    </w:pPr>
    <w:rPr>
      <w:b/>
    </w:rPr>
  </w:style>
  <w:style w:type="paragraph" w:styleId="TDC1">
    <w:name w:val="toc 1"/>
    <w:basedOn w:val="Normal"/>
    <w:next w:val="Normal"/>
    <w:autoRedefine/>
    <w:uiPriority w:val="39"/>
    <w:unhideWhenUsed/>
    <w:rsid w:val="00C45958"/>
    <w:pPr>
      <w:tabs>
        <w:tab w:val="left" w:pos="142"/>
        <w:tab w:val="left" w:pos="284"/>
        <w:tab w:val="right" w:pos="9352"/>
      </w:tabs>
    </w:pPr>
  </w:style>
  <w:style w:type="paragraph" w:styleId="TDC2">
    <w:name w:val="toc 2"/>
    <w:basedOn w:val="Normal"/>
    <w:next w:val="Normal"/>
    <w:autoRedefine/>
    <w:uiPriority w:val="39"/>
    <w:unhideWhenUsed/>
    <w:pPr>
      <w:spacing w:after="100"/>
      <w:ind w:left="240"/>
    </w:pPr>
  </w:style>
  <w:style w:type="paragraph" w:styleId="TDC3">
    <w:name w:val="toc 3"/>
    <w:basedOn w:val="Normal"/>
    <w:next w:val="Normal"/>
    <w:autoRedefine/>
    <w:uiPriority w:val="39"/>
    <w:unhideWhenUsed/>
    <w:rsid w:val="007B6808"/>
    <w:pPr>
      <w:tabs>
        <w:tab w:val="left" w:pos="1134"/>
        <w:tab w:val="right" w:pos="8830"/>
      </w:tabs>
      <w:spacing w:after="100"/>
    </w:pPr>
  </w:style>
  <w:style w:type="table" w:customStyle="1" w:styleId="NormalTable0">
    <w:name w:val="Normal Table0"/>
    <w:tblPr>
      <w:tblCellMar>
        <w:top w:w="0" w:type="dxa"/>
        <w:left w:w="0" w:type="dxa"/>
        <w:bottom w:w="0" w:type="dxa"/>
        <w:right w:w="0" w:type="dxa"/>
      </w:tblCellMar>
    </w:tblPr>
  </w:style>
  <w:style w:type="character" w:customStyle="1" w:styleId="TextocomentarioCar">
    <w:name w:val="Texto comentario Car"/>
    <w:basedOn w:val="Fuentedeprrafopredeter"/>
    <w:link w:val="Textocomentario"/>
    <w:uiPriority w:val="99"/>
    <w:semiHidden/>
    <w:rPr>
      <w:sz w:val="20"/>
      <w:szCs w:val="20"/>
    </w:rPr>
  </w:style>
  <w:style w:type="character" w:customStyle="1" w:styleId="TextodegloboCar">
    <w:name w:val="Texto de globo Car"/>
    <w:basedOn w:val="Fuentedeprrafopredeter"/>
    <w:link w:val="Textodeglobo"/>
    <w:uiPriority w:val="99"/>
    <w:semiHidden/>
    <w:rPr>
      <w:rFonts w:ascii="Segoe UI" w:hAnsi="Segoe UI" w:cs="Segoe UI"/>
      <w:sz w:val="18"/>
      <w:szCs w:val="18"/>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Prrafodelista">
    <w:name w:val="List Paragraph"/>
    <w:basedOn w:val="Normal"/>
    <w:qFormat/>
    <w:pPr>
      <w:ind w:left="720"/>
      <w:contextualSpacing/>
    </w:pPr>
  </w:style>
  <w:style w:type="character" w:customStyle="1" w:styleId="TextonotapieCar">
    <w:name w:val="Texto nota pie Car"/>
    <w:basedOn w:val="Fuentedeprrafopredeter"/>
    <w:link w:val="Textonotapie"/>
    <w:uiPriority w:val="99"/>
    <w:semiHidden/>
    <w:rPr>
      <w:sz w:val="20"/>
      <w:szCs w:val="20"/>
    </w:rPr>
  </w:style>
  <w:style w:type="paragraph" w:customStyle="1" w:styleId="Normal1">
    <w:name w:val="Normal1"/>
    <w:pPr>
      <w:spacing w:line="276" w:lineRule="auto"/>
    </w:pPr>
    <w:rPr>
      <w:rFonts w:ascii="Arial" w:eastAsia="Arial" w:hAnsi="Arial" w:cs="Arial"/>
      <w:color w:val="000000"/>
      <w:sz w:val="22"/>
    </w:rPr>
  </w:style>
  <w:style w:type="paragraph" w:styleId="Asuntodelcomentario">
    <w:name w:val="annotation subject"/>
    <w:basedOn w:val="Textocomentario"/>
    <w:next w:val="Textocomentario"/>
    <w:link w:val="AsuntodelcomentarioCar"/>
    <w:uiPriority w:val="99"/>
    <w:semiHidden/>
    <w:unhideWhenUsed/>
    <w:rsid w:val="00301F02"/>
    <w:rPr>
      <w:b/>
      <w:bCs/>
    </w:rPr>
  </w:style>
  <w:style w:type="character" w:customStyle="1" w:styleId="AsuntodelcomentarioCar">
    <w:name w:val="Asunto del comentario Car"/>
    <w:basedOn w:val="TextocomentarioCar"/>
    <w:link w:val="Asuntodelcomentario"/>
    <w:uiPriority w:val="99"/>
    <w:semiHidden/>
    <w:rsid w:val="00301F02"/>
    <w:rPr>
      <w:rFonts w:ascii="Arial" w:hAnsi="Arial"/>
      <w:b/>
      <w:bCs/>
      <w:color w:val="000000"/>
      <w:sz w:val="20"/>
      <w:szCs w:val="20"/>
    </w:rPr>
  </w:style>
  <w:style w:type="paragraph" w:styleId="Textoindependiente">
    <w:name w:val="Body Text"/>
    <w:basedOn w:val="Normal"/>
    <w:link w:val="TextoindependienteCar"/>
    <w:uiPriority w:val="1"/>
    <w:qFormat/>
    <w:rsid w:val="00607526"/>
    <w:pPr>
      <w:autoSpaceDE w:val="0"/>
      <w:autoSpaceDN w:val="0"/>
      <w:jc w:val="left"/>
    </w:pPr>
    <w:rPr>
      <w:rFonts w:ascii="Arial MT" w:eastAsia="Arial MT" w:hAnsi="Arial MT" w:cs="Arial MT"/>
      <w:color w:val="auto"/>
      <w:lang w:val="es-ES" w:eastAsia="en-US"/>
    </w:rPr>
  </w:style>
  <w:style w:type="character" w:customStyle="1" w:styleId="TextoindependienteCar">
    <w:name w:val="Texto independiente Car"/>
    <w:basedOn w:val="Fuentedeprrafopredeter"/>
    <w:link w:val="Textoindependiente"/>
    <w:uiPriority w:val="1"/>
    <w:rsid w:val="00607526"/>
    <w:rPr>
      <w:rFonts w:ascii="Arial MT" w:eastAsia="Arial MT" w:hAnsi="Arial MT" w:cs="Arial MT"/>
      <w:sz w:val="24"/>
      <w:szCs w:val="24"/>
      <w:lang w:val="es-ES" w:eastAsia="en-US"/>
    </w:rPr>
  </w:style>
  <w:style w:type="paragraph" w:styleId="NormalWeb">
    <w:name w:val="Normal (Web)"/>
    <w:basedOn w:val="Normal"/>
    <w:uiPriority w:val="99"/>
    <w:unhideWhenUsed/>
    <w:rsid w:val="001E5A50"/>
    <w:pPr>
      <w:widowControl/>
      <w:spacing w:before="100" w:beforeAutospacing="1" w:after="100" w:afterAutospacing="1"/>
      <w:jc w:val="left"/>
    </w:pPr>
    <w:rPr>
      <w:rFonts w:ascii="Times New Roman" w:hAnsi="Times New Roman"/>
      <w:color w:val="auto"/>
    </w:rPr>
  </w:style>
  <w:style w:type="character" w:styleId="Fuerte">
    <w:name w:val="Strong"/>
    <w:basedOn w:val="Fuentedeprrafopredeter"/>
    <w:uiPriority w:val="22"/>
    <w:qFormat/>
    <w:rsid w:val="001E5A50"/>
    <w:rPr>
      <w:b/>
      <w:bCs/>
    </w:rPr>
  </w:style>
  <w:style w:type="character" w:styleId="nfasis">
    <w:name w:val="Emphasis"/>
    <w:basedOn w:val="Fuentedeprrafopredeter"/>
    <w:uiPriority w:val="20"/>
    <w:qFormat/>
    <w:rsid w:val="001E5A50"/>
    <w:rPr>
      <w:i/>
      <w:iCs/>
    </w:rPr>
  </w:style>
  <w:style w:type="paragraph" w:styleId="TtuloTDC">
    <w:name w:val="TOC Heading"/>
    <w:basedOn w:val="Ttulo1"/>
    <w:next w:val="Normal"/>
    <w:uiPriority w:val="39"/>
    <w:unhideWhenUsed/>
    <w:qFormat/>
    <w:rsid w:val="009E5483"/>
    <w:pPr>
      <w:keepLines/>
      <w:widowControl/>
      <w:spacing w:before="240" w:line="259" w:lineRule="auto"/>
      <w:jc w:val="left"/>
      <w:outlineLvl w:val="9"/>
    </w:pPr>
    <w:rPr>
      <w:rFonts w:asciiTheme="majorHAnsi" w:eastAsiaTheme="majorEastAsia" w:hAnsiTheme="majorHAnsi" w:cstheme="majorBidi"/>
      <w:caps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1037001">
      <w:bodyDiv w:val="1"/>
      <w:marLeft w:val="0"/>
      <w:marRight w:val="0"/>
      <w:marTop w:val="0"/>
      <w:marBottom w:val="0"/>
      <w:divBdr>
        <w:top w:val="none" w:sz="0" w:space="0" w:color="auto"/>
        <w:left w:val="none" w:sz="0" w:space="0" w:color="auto"/>
        <w:bottom w:val="none" w:sz="0" w:space="0" w:color="auto"/>
        <w:right w:val="none" w:sz="0" w:space="0" w:color="auto"/>
      </w:divBdr>
      <w:divsChild>
        <w:div w:id="1319187619">
          <w:marLeft w:val="0"/>
          <w:marRight w:val="0"/>
          <w:marTop w:val="0"/>
          <w:marBottom w:val="0"/>
          <w:divBdr>
            <w:top w:val="none" w:sz="0" w:space="0" w:color="auto"/>
            <w:left w:val="none" w:sz="0" w:space="0" w:color="auto"/>
            <w:bottom w:val="none" w:sz="0" w:space="0" w:color="auto"/>
            <w:right w:val="none" w:sz="0" w:space="0" w:color="auto"/>
          </w:divBdr>
        </w:div>
      </w:divsChild>
    </w:div>
    <w:div w:id="1941528586">
      <w:bodyDiv w:val="1"/>
      <w:marLeft w:val="0"/>
      <w:marRight w:val="0"/>
      <w:marTop w:val="0"/>
      <w:marBottom w:val="0"/>
      <w:divBdr>
        <w:top w:val="none" w:sz="0" w:space="0" w:color="auto"/>
        <w:left w:val="none" w:sz="0" w:space="0" w:color="auto"/>
        <w:bottom w:val="none" w:sz="0" w:space="0" w:color="auto"/>
        <w:right w:val="none" w:sz="0" w:space="0" w:color="auto"/>
      </w:divBdr>
      <w:divsChild>
        <w:div w:id="4149768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eferencia numérica" Version="1987"/>
</file>

<file path=customXml/itemProps1.xml><?xml version="1.0" encoding="utf-8"?>
<ds:datastoreItem xmlns:ds="http://schemas.openxmlformats.org/officeDocument/2006/customXml" ds:itemID="{69B88FB5-3468-4B33-9F49-08DDB5DDA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31</Pages>
  <Words>9534</Words>
  <Characters>52441</Characters>
  <Application>Microsoft Office Word</Application>
  <DocSecurity>0</DocSecurity>
  <Lines>437</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Milena Bernate Bautista</dc:creator>
  <cp:lastModifiedBy>jhon gonzalez</cp:lastModifiedBy>
  <cp:revision>41</cp:revision>
  <dcterms:created xsi:type="dcterms:W3CDTF">2026-07-28T16:14:00Z</dcterms:created>
  <dcterms:modified xsi:type="dcterms:W3CDTF">2026-09-19T14:46:00Z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41CE384EADC045EC96EC102374CCE9E9_13</vt:lpwstr>
  </property>
</Properties>
</file>