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4"/>
          <w:szCs w:val="24"/>
        </w:rPr>
        <w:t xml:space="preserve">UNIVERSIDAD CATÓLICA DE COLOMBIA</w:t>
      </w:r>
    </w:p>
    <w:p>
      <w:pPr>
        <w:spacing w:after="200"/>
        <w:jc w:val="center"/>
      </w:pPr>
      <w:r>
        <w:rPr>
          <w:i/>
          <w:iCs/>
          <w:sz w:val="20"/>
          <w:szCs w:val="20"/>
        </w:rPr>
        <w:t xml:space="preserve">Trabajo de Grado — Detección de malware con Machine Learning</w:t>
      </w:r>
    </w:p>
    <w:p>
      <w:pPr>
        <w:spacing w:after="300"/>
        <w:jc w:val="center"/>
      </w:pPr>
      <w:r>
        <w:rPr>
          <w:b/>
          <w:bCs/>
          <w:color w:val="1F3864"/>
          <w:sz w:val="28"/>
          <w:szCs w:val="28"/>
        </w:rPr>
        <w:t xml:space="preserve">FICHA TÉCNICA Y DICCIONARIO DE DATOS — DATASET EMBER</w:t>
      </w:r>
    </w:p>
    <w:p>
      <w:pPr>
        <w:pStyle w:val="Heading1"/>
        <w:spacing w:after="150" w:before="300"/>
      </w:pPr>
      <w:r>
        <w:rPr>
          <w:b/>
          <w:bCs/>
          <w:color w:val="1F3864"/>
        </w:rPr>
        <w:t xml:space="preserve">1. Identificación del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3864" w:val="clear"/>
            <w:tcMar>
              <w:top w:type="dxa" w:w="80"/>
              <w:left w:type="dxa" w:w="100"/>
              <w:bottom w:type="dxa" w:w="80"/>
              <w:right w:type="dxa" w:w="100"/>
            </w:tcMar>
          </w:tcPr>
          <w:p>
            <w:r>
              <w:rPr>
                <w:b/>
                <w:bCs/>
                <w:color w:val="FFFFFF"/>
                <w:sz w:val="20"/>
                <w:szCs w:val="20"/>
              </w:rPr>
              <w:t xml:space="preserve">Nombre completo</w:t>
            </w:r>
          </w:p>
        </w:tc>
        <w:tc>
          <w:tcPr>
            <w:tcW w:type="dxa" w:w="6560"/>
            <w:tcMar>
              <w:top w:type="dxa" w:w="80"/>
              <w:left w:type="dxa" w:w="100"/>
              <w:bottom w:type="dxa" w:w="80"/>
              <w:right w:type="dxa" w:w="100"/>
            </w:tcMar>
          </w:tcPr>
          <w:p>
            <w:r>
              <w:rPr>
                <w:b w:val="false"/>
                <w:bCs w:val="false"/>
                <w:color w:val="000000"/>
                <w:sz w:val="20"/>
                <w:szCs w:val="20"/>
              </w:rPr>
              <w:t xml:space="preserve">EMBER — Elastic Malware Benchmark for Empowering Researchers</w:t>
            </w:r>
          </w:p>
        </w:tc>
      </w:tr>
      <w:tr>
        <w:tc>
          <w:tcPr>
            <w:tcW w:type="dxa" w:w="2800"/>
            <w:shd w:fill="1F3864" w:val="clear"/>
            <w:tcMar>
              <w:top w:type="dxa" w:w="80"/>
              <w:left w:type="dxa" w:w="100"/>
              <w:bottom w:type="dxa" w:w="80"/>
              <w:right w:type="dxa" w:w="100"/>
            </w:tcMar>
          </w:tcPr>
          <w:p>
            <w:r>
              <w:rPr>
                <w:b/>
                <w:bCs/>
                <w:color w:val="FFFFFF"/>
                <w:sz w:val="20"/>
                <w:szCs w:val="20"/>
              </w:rPr>
              <w:t xml:space="preserve">Versión utilizada</w:t>
            </w:r>
          </w:p>
        </w:tc>
        <w:tc>
          <w:tcPr>
            <w:tcW w:type="dxa" w:w="6560"/>
            <w:tcMar>
              <w:top w:type="dxa" w:w="80"/>
              <w:left w:type="dxa" w:w="100"/>
              <w:bottom w:type="dxa" w:w="80"/>
              <w:right w:type="dxa" w:w="100"/>
            </w:tcMar>
          </w:tcPr>
          <w:p>
            <w:r>
              <w:rPr>
                <w:b w:val="false"/>
                <w:bCs w:val="false"/>
                <w:color w:val="000000"/>
                <w:sz w:val="20"/>
                <w:szCs w:val="20"/>
              </w:rPr>
              <w:t xml:space="preserve">EMBER2018 (v2)</w:t>
            </w:r>
          </w:p>
        </w:tc>
      </w:tr>
      <w:tr>
        <w:tc>
          <w:tcPr>
            <w:tcW w:type="dxa" w:w="2800"/>
            <w:shd w:fill="1F3864" w:val="clear"/>
            <w:tcMar>
              <w:top w:type="dxa" w:w="80"/>
              <w:left w:type="dxa" w:w="100"/>
              <w:bottom w:type="dxa" w:w="80"/>
              <w:right w:type="dxa" w:w="100"/>
            </w:tcMar>
          </w:tcPr>
          <w:p>
            <w:r>
              <w:rPr>
                <w:b/>
                <w:bCs/>
                <w:color w:val="FFFFFF"/>
                <w:sz w:val="20"/>
                <w:szCs w:val="20"/>
              </w:rPr>
              <w:t xml:space="preserve">Autores</w:t>
            </w:r>
          </w:p>
        </w:tc>
        <w:tc>
          <w:tcPr>
            <w:tcW w:type="dxa" w:w="6560"/>
            <w:tcMar>
              <w:top w:type="dxa" w:w="80"/>
              <w:left w:type="dxa" w:w="100"/>
              <w:bottom w:type="dxa" w:w="80"/>
              <w:right w:type="dxa" w:w="100"/>
            </w:tcMar>
          </w:tcPr>
          <w:p>
            <w:r>
              <w:rPr>
                <w:b w:val="false"/>
                <w:bCs w:val="false"/>
                <w:color w:val="000000"/>
                <w:sz w:val="20"/>
                <w:szCs w:val="20"/>
              </w:rPr>
              <w:t xml:space="preserve">Hyrum S. Anderson y Phil Roth (Endgame / Elastic)</w:t>
            </w:r>
          </w:p>
        </w:tc>
      </w:tr>
      <w:tr>
        <w:tc>
          <w:tcPr>
            <w:tcW w:type="dxa" w:w="2800"/>
            <w:shd w:fill="1F3864" w:val="clear"/>
            <w:tcMar>
              <w:top w:type="dxa" w:w="80"/>
              <w:left w:type="dxa" w:w="100"/>
              <w:bottom w:type="dxa" w:w="80"/>
              <w:right w:type="dxa" w:w="100"/>
            </w:tcMar>
          </w:tcPr>
          <w:p>
            <w:r>
              <w:rPr>
                <w:b/>
                <w:bCs/>
                <w:color w:val="FFFFFF"/>
                <w:sz w:val="20"/>
                <w:szCs w:val="20"/>
              </w:rPr>
              <w:t xml:space="preserve">Publicación de referencia</w:t>
            </w:r>
          </w:p>
        </w:tc>
        <w:tc>
          <w:tcPr>
            <w:tcW w:type="dxa" w:w="6560"/>
            <w:tcMar>
              <w:top w:type="dxa" w:w="80"/>
              <w:left w:type="dxa" w:w="100"/>
              <w:bottom w:type="dxa" w:w="80"/>
              <w:right w:type="dxa" w:w="100"/>
            </w:tcMar>
          </w:tcPr>
          <w:p>
            <w:r>
              <w:rPr>
                <w:b w:val="false"/>
                <w:bCs w:val="false"/>
                <w:color w:val="000000"/>
                <w:sz w:val="20"/>
                <w:szCs w:val="20"/>
              </w:rPr>
              <w:t xml:space="preserve">Anderson, H. &amp; Roth, P. (2018). EMBER: An Open Dataset for Training Static PE Malware Machine Learning Models. arXiv:1804.04637</w:t>
            </w:r>
          </w:p>
        </w:tc>
      </w:tr>
      <w:tr>
        <w:tc>
          <w:tcPr>
            <w:tcW w:type="dxa" w:w="2800"/>
            <w:shd w:fill="1F3864" w:val="clear"/>
            <w:tcMar>
              <w:top w:type="dxa" w:w="80"/>
              <w:left w:type="dxa" w:w="100"/>
              <w:bottom w:type="dxa" w:w="80"/>
              <w:right w:type="dxa" w:w="100"/>
            </w:tcMar>
          </w:tcPr>
          <w:p>
            <w:r>
              <w:rPr>
                <w:b/>
                <w:bCs/>
                <w:color w:val="FFFFFF"/>
                <w:sz w:val="20"/>
                <w:szCs w:val="20"/>
              </w:rPr>
              <w:t xml:space="preserve">Repositorio oficial</w:t>
            </w:r>
          </w:p>
        </w:tc>
        <w:tc>
          <w:tcPr>
            <w:tcW w:type="dxa" w:w="6560"/>
            <w:tcMar>
              <w:top w:type="dxa" w:w="80"/>
              <w:left w:type="dxa" w:w="100"/>
              <w:bottom w:type="dxa" w:w="80"/>
              <w:right w:type="dxa" w:w="100"/>
            </w:tcMar>
          </w:tcPr>
          <w:p>
            <w:r>
              <w:rPr>
                <w:b w:val="false"/>
                <w:bCs w:val="false"/>
                <w:color w:val="000000"/>
                <w:sz w:val="20"/>
                <w:szCs w:val="20"/>
              </w:rPr>
              <w:t xml:space="preserve">github.com/elastic/ember</w:t>
            </w:r>
          </w:p>
        </w:tc>
      </w:tr>
      <w:tr>
        <w:tc>
          <w:tcPr>
            <w:tcW w:type="dxa" w:w="2800"/>
            <w:shd w:fill="1F3864" w:val="clear"/>
            <w:tcMar>
              <w:top w:type="dxa" w:w="80"/>
              <w:left w:type="dxa" w:w="100"/>
              <w:bottom w:type="dxa" w:w="80"/>
              <w:right w:type="dxa" w:w="100"/>
            </w:tcMar>
          </w:tcPr>
          <w:p>
            <w:r>
              <w:rPr>
                <w:b/>
                <w:bCs/>
                <w:color w:val="FFFFFF"/>
                <w:sz w:val="20"/>
                <w:szCs w:val="20"/>
              </w:rPr>
              <w:t xml:space="preserve">Licencia</w:t>
            </w:r>
          </w:p>
        </w:tc>
        <w:tc>
          <w:tcPr>
            <w:tcW w:type="dxa" w:w="6560"/>
            <w:tcMar>
              <w:top w:type="dxa" w:w="80"/>
              <w:left w:type="dxa" w:w="100"/>
              <w:bottom w:type="dxa" w:w="80"/>
              <w:right w:type="dxa" w:w="100"/>
            </w:tcMar>
          </w:tcPr>
          <w:p>
            <w:r>
              <w:rPr>
                <w:b w:val="false"/>
                <w:bCs w:val="false"/>
                <w:color w:val="000000"/>
                <w:sz w:val="20"/>
                <w:szCs w:val="20"/>
              </w:rPr>
              <w:t xml:space="preserve">MIT (código) — dataset de acceso abierto para investigación</w:t>
            </w:r>
          </w:p>
        </w:tc>
      </w:tr>
      <w:tr>
        <w:tc>
          <w:tcPr>
            <w:tcW w:type="dxa" w:w="2800"/>
            <w:shd w:fill="1F3864" w:val="clear"/>
            <w:tcMar>
              <w:top w:type="dxa" w:w="80"/>
              <w:left w:type="dxa" w:w="100"/>
              <w:bottom w:type="dxa" w:w="80"/>
              <w:right w:type="dxa" w:w="100"/>
            </w:tcMar>
          </w:tcPr>
          <w:p>
            <w:r>
              <w:rPr>
                <w:b/>
                <w:bCs/>
                <w:color w:val="FFFFFF"/>
                <w:sz w:val="20"/>
                <w:szCs w:val="20"/>
              </w:rPr>
              <w:t xml:space="preserve">Tipo de análisis</w:t>
            </w:r>
          </w:p>
        </w:tc>
        <w:tc>
          <w:tcPr>
            <w:tcW w:type="dxa" w:w="6560"/>
            <w:tcMar>
              <w:top w:type="dxa" w:w="80"/>
              <w:left w:type="dxa" w:w="100"/>
              <w:bottom w:type="dxa" w:w="80"/>
              <w:right w:type="dxa" w:w="100"/>
            </w:tcMar>
          </w:tcPr>
          <w:p>
            <w:r>
              <w:rPr>
                <w:b w:val="false"/>
                <w:bCs w:val="false"/>
                <w:color w:val="000000"/>
                <w:sz w:val="20"/>
                <w:szCs w:val="20"/>
              </w:rPr>
              <w:t xml:space="preserve">Estático (sin ejecución del archivo)</w:t>
            </w:r>
          </w:p>
        </w:tc>
      </w:tr>
      <w:tr>
        <w:tc>
          <w:tcPr>
            <w:tcW w:type="dxa" w:w="2800"/>
            <w:shd w:fill="1F3864" w:val="clear"/>
            <w:tcMar>
              <w:top w:type="dxa" w:w="80"/>
              <w:left w:type="dxa" w:w="100"/>
              <w:bottom w:type="dxa" w:w="80"/>
              <w:right w:type="dxa" w:w="100"/>
            </w:tcMar>
          </w:tcPr>
          <w:p>
            <w:r>
              <w:rPr>
                <w:b/>
                <w:bCs/>
                <w:color w:val="FFFFFF"/>
                <w:sz w:val="20"/>
                <w:szCs w:val="20"/>
              </w:rPr>
              <w:t xml:space="preserve">Formato analizado</w:t>
            </w:r>
          </w:p>
        </w:tc>
        <w:tc>
          <w:tcPr>
            <w:tcW w:type="dxa" w:w="6560"/>
            <w:tcMar>
              <w:top w:type="dxa" w:w="80"/>
              <w:left w:type="dxa" w:w="100"/>
              <w:bottom w:type="dxa" w:w="80"/>
              <w:right w:type="dxa" w:w="100"/>
            </w:tcMar>
          </w:tcPr>
          <w:p>
            <w:r>
              <w:rPr>
                <w:b w:val="false"/>
                <w:bCs w:val="false"/>
                <w:color w:val="000000"/>
                <w:sz w:val="20"/>
                <w:szCs w:val="20"/>
              </w:rPr>
              <w:t xml:space="preserve">Portable Executable (PE) de Windows — .exe, .dll</w:t>
            </w:r>
          </w:p>
        </w:tc>
      </w:tr>
    </w:tbl>
    <w:p>
      <w:pPr>
        <w:pStyle w:val="Heading1"/>
        <w:spacing w:after="150" w:before="300"/>
      </w:pPr>
      <w:r>
        <w:rPr>
          <w:b/>
          <w:bCs/>
          <w:color w:val="1F3864"/>
        </w:rPr>
        <w:t xml:space="preserve">2. Tamaño y estructura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val="clear"/>
            <w:tcMar>
              <w:top w:type="dxa" w:w="80"/>
              <w:left w:type="dxa" w:w="100"/>
              <w:bottom w:type="dxa" w:w="80"/>
              <w:right w:type="dxa" w:w="100"/>
            </w:tcMar>
          </w:tcPr>
          <w:p>
            <w:r>
              <w:rPr>
                <w:b/>
                <w:bCs/>
                <w:color w:val="FFFFFF"/>
                <w:sz w:val="20"/>
                <w:szCs w:val="20"/>
              </w:rPr>
              <w:t xml:space="preserve">Total de muestras</w:t>
            </w:r>
          </w:p>
        </w:tc>
        <w:tc>
          <w:tcPr>
            <w:tcW w:type="dxa" w:w="5760"/>
            <w:tcMar>
              <w:top w:type="dxa" w:w="80"/>
              <w:left w:type="dxa" w:w="100"/>
              <w:bottom w:type="dxa" w:w="80"/>
              <w:right w:type="dxa" w:w="100"/>
            </w:tcMar>
          </w:tcPr>
          <w:p>
            <w:r>
              <w:rPr>
                <w:b w:val="false"/>
                <w:bCs w:val="false"/>
                <w:color w:val="000000"/>
                <w:sz w:val="20"/>
                <w:szCs w:val="20"/>
              </w:rPr>
              <w:t xml:space="preserve">1.000.000 archivos PE</w:t>
            </w:r>
          </w:p>
        </w:tc>
      </w:tr>
      <w:tr>
        <w:tc>
          <w:tcPr>
            <w:tcW w:type="dxa" w:w="3600"/>
            <w:shd w:fill="1F3864" w:val="clear"/>
            <w:tcMar>
              <w:top w:type="dxa" w:w="80"/>
              <w:left w:type="dxa" w:w="100"/>
              <w:bottom w:type="dxa" w:w="80"/>
              <w:right w:type="dxa" w:w="100"/>
            </w:tcMar>
          </w:tcPr>
          <w:p>
            <w:r>
              <w:rPr>
                <w:b/>
                <w:bCs/>
                <w:color w:val="FFFFFF"/>
                <w:sz w:val="20"/>
                <w:szCs w:val="20"/>
              </w:rPr>
              <w:t xml:space="preserve">Conjunto de entrenamiento</w:t>
            </w:r>
          </w:p>
        </w:tc>
        <w:tc>
          <w:tcPr>
            <w:tcW w:type="dxa" w:w="5760"/>
            <w:tcMar>
              <w:top w:type="dxa" w:w="80"/>
              <w:left w:type="dxa" w:w="100"/>
              <w:bottom w:type="dxa" w:w="80"/>
              <w:right w:type="dxa" w:w="100"/>
            </w:tcMar>
          </w:tcPr>
          <w:p>
            <w:r>
              <w:rPr>
                <w:b w:val="false"/>
                <w:bCs w:val="false"/>
                <w:color w:val="000000"/>
                <w:sz w:val="20"/>
                <w:szCs w:val="20"/>
              </w:rPr>
              <w:t xml:space="preserve">900.000 muestras (300.000 maliciosas, 300.000 benignas, 300.000 sin etiquetar)</w:t>
            </w:r>
          </w:p>
        </w:tc>
      </w:tr>
      <w:tr>
        <w:tc>
          <w:tcPr>
            <w:tcW w:type="dxa" w:w="3600"/>
            <w:shd w:fill="1F3864" w:val="clear"/>
            <w:tcMar>
              <w:top w:type="dxa" w:w="80"/>
              <w:left w:type="dxa" w:w="100"/>
              <w:bottom w:type="dxa" w:w="80"/>
              <w:right w:type="dxa" w:w="100"/>
            </w:tcMar>
          </w:tcPr>
          <w:p>
            <w:r>
              <w:rPr>
                <w:b/>
                <w:bCs/>
                <w:color w:val="FFFFFF"/>
                <w:sz w:val="20"/>
                <w:szCs w:val="20"/>
              </w:rPr>
              <w:t xml:space="preserve">Conjunto de prueba</w:t>
            </w:r>
          </w:p>
        </w:tc>
        <w:tc>
          <w:tcPr>
            <w:tcW w:type="dxa" w:w="5760"/>
            <w:tcMar>
              <w:top w:type="dxa" w:w="80"/>
              <w:left w:type="dxa" w:w="100"/>
              <w:bottom w:type="dxa" w:w="80"/>
              <w:right w:type="dxa" w:w="100"/>
            </w:tcMar>
          </w:tcPr>
          <w:p>
            <w:r>
              <w:rPr>
                <w:b w:val="false"/>
                <w:bCs w:val="false"/>
                <w:color w:val="000000"/>
                <w:sz w:val="20"/>
                <w:szCs w:val="20"/>
              </w:rPr>
              <w:t xml:space="preserve">200.000 muestras (100.000 maliciosas, 100.000 benignas)</w:t>
            </w:r>
          </w:p>
        </w:tc>
      </w:tr>
      <w:tr>
        <w:tc>
          <w:tcPr>
            <w:tcW w:type="dxa" w:w="3600"/>
            <w:shd w:fill="1F3864" w:val="clear"/>
            <w:tcMar>
              <w:top w:type="dxa" w:w="80"/>
              <w:left w:type="dxa" w:w="100"/>
              <w:bottom w:type="dxa" w:w="80"/>
              <w:right w:type="dxa" w:w="100"/>
            </w:tcMar>
          </w:tcPr>
          <w:p>
            <w:r>
              <w:rPr>
                <w:b/>
                <w:bCs/>
                <w:color w:val="FFFFFF"/>
                <w:sz w:val="20"/>
                <w:szCs w:val="20"/>
              </w:rPr>
              <w:t xml:space="preserve">N.º de características</w:t>
            </w:r>
          </w:p>
        </w:tc>
        <w:tc>
          <w:tcPr>
            <w:tcW w:type="dxa" w:w="5760"/>
            <w:tcMar>
              <w:top w:type="dxa" w:w="80"/>
              <w:left w:type="dxa" w:w="100"/>
              <w:bottom w:type="dxa" w:w="80"/>
              <w:right w:type="dxa" w:w="100"/>
            </w:tcMar>
          </w:tcPr>
          <w:p>
            <w:r>
              <w:rPr>
                <w:b w:val="false"/>
                <w:bCs w:val="false"/>
                <w:color w:val="000000"/>
                <w:sz w:val="20"/>
                <w:szCs w:val="20"/>
              </w:rPr>
              <w:t xml:space="preserve">2.381 (verificadas: la suma de los 9 grupos de la sección 3 da exactamente este total)</w:t>
            </w:r>
          </w:p>
        </w:tc>
      </w:tr>
      <w:tr>
        <w:tc>
          <w:tcPr>
            <w:tcW w:type="dxa" w:w="3600"/>
            <w:shd w:fill="1F3864" w:val="clear"/>
            <w:tcMar>
              <w:top w:type="dxa" w:w="80"/>
              <w:left w:type="dxa" w:w="100"/>
              <w:bottom w:type="dxa" w:w="80"/>
              <w:right w:type="dxa" w:w="100"/>
            </w:tcMar>
          </w:tcPr>
          <w:p>
            <w:r>
              <w:rPr>
                <w:b/>
                <w:bCs/>
                <w:color w:val="FFFFFF"/>
                <w:sz w:val="20"/>
                <w:szCs w:val="20"/>
              </w:rPr>
              <w:t xml:space="preserve">Herramienta de extracción</w:t>
            </w:r>
          </w:p>
        </w:tc>
        <w:tc>
          <w:tcPr>
            <w:tcW w:type="dxa" w:w="5760"/>
            <w:tcMar>
              <w:top w:type="dxa" w:w="80"/>
              <w:left w:type="dxa" w:w="100"/>
              <w:bottom w:type="dxa" w:w="80"/>
              <w:right w:type="dxa" w:w="100"/>
            </w:tcMar>
          </w:tcPr>
          <w:p>
            <w:r>
              <w:rPr>
                <w:b w:val="false"/>
                <w:bCs w:val="false"/>
                <w:color w:val="000000"/>
                <w:sz w:val="20"/>
                <w:szCs w:val="20"/>
              </w:rPr>
              <w:t xml:space="preserve">LIEF (Library to Instrument Executable Formats)</w:t>
            </w:r>
          </w:p>
        </w:tc>
      </w:tr>
    </w:tbl>
    <w:p>
      <w:pPr>
        <w:pStyle w:val="Heading1"/>
        <w:spacing w:after="150" w:before="300"/>
      </w:pPr>
      <w:r>
        <w:rPr>
          <w:b/>
          <w:bCs/>
          <w:color w:val="1F3864"/>
        </w:rPr>
        <w:t xml:space="preserve">3. Diccionario de datos — Grupos de características</w:t>
      </w:r>
    </w:p>
    <w:p>
      <w:pPr>
        <w:spacing w:after="150" w:line="276"/>
        <w:jc w:val="both"/>
      </w:pPr>
      <w:r>
        <w:t xml:space="preserve">Cada archivo PE se representa como un vector de 2.381 valores numéricos, resultado de concatenar 9 grupos de características extraídas de forma estática (sin ejecutar el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200"/>
        <w:gridCol w:w="1400"/>
        <w:gridCol w:w="3460"/>
      </w:tblGrid>
      <w:tr>
        <w:tc>
          <w:tcPr>
            <w:tcW w:type="dxa" w:w="900"/>
            <w:shd w:fill="1F3864" w:val="clear"/>
            <w:tcMar>
              <w:top w:type="dxa" w:w="80"/>
              <w:left w:type="dxa" w:w="100"/>
              <w:bottom w:type="dxa" w:w="80"/>
              <w:right w:type="dxa" w:w="100"/>
            </w:tcMar>
          </w:tcPr>
          <w:p>
            <w:r>
              <w:rPr>
                <w:b/>
                <w:bCs/>
                <w:color w:val="FFFFFF"/>
                <w:sz w:val="20"/>
                <w:szCs w:val="20"/>
              </w:rPr>
              <w:t xml:space="preserve">Abrev.</w:t>
            </w:r>
          </w:p>
        </w:tc>
        <w:tc>
          <w:tcPr>
            <w:tcW w:type="dxa" w:w="2400"/>
            <w:shd w:fill="1F3864" w:val="clear"/>
            <w:tcMar>
              <w:top w:type="dxa" w:w="80"/>
              <w:left w:type="dxa" w:w="100"/>
              <w:bottom w:type="dxa" w:w="80"/>
              <w:right w:type="dxa" w:w="100"/>
            </w:tcMar>
          </w:tcPr>
          <w:p>
            <w:r>
              <w:rPr>
                <w:b/>
                <w:bCs/>
                <w:color w:val="FFFFFF"/>
                <w:sz w:val="20"/>
                <w:szCs w:val="20"/>
              </w:rPr>
              <w:t xml:space="preserve">Grupo</w:t>
            </w:r>
          </w:p>
        </w:tc>
        <w:tc>
          <w:tcPr>
            <w:tcW w:type="dxa" w:w="1200"/>
            <w:shd w:fill="1F3864" w:val="clear"/>
            <w:tcMar>
              <w:top w:type="dxa" w:w="80"/>
              <w:left w:type="dxa" w:w="100"/>
              <w:bottom w:type="dxa" w:w="80"/>
              <w:right w:type="dxa" w:w="100"/>
            </w:tcMar>
          </w:tcPr>
          <w:p>
            <w:r>
              <w:rPr>
                <w:b/>
                <w:bCs/>
                <w:color w:val="FFFFFF"/>
                <w:sz w:val="20"/>
                <w:szCs w:val="20"/>
              </w:rPr>
              <w:t xml:space="preserve">N.º var.</w:t>
            </w:r>
          </w:p>
        </w:tc>
        <w:tc>
          <w:tcPr>
            <w:tcW w:type="dxa" w:w="1400"/>
            <w:shd w:fill="1F3864" w:val="clear"/>
            <w:tcMar>
              <w:top w:type="dxa" w:w="80"/>
              <w:left w:type="dxa" w:w="100"/>
              <w:bottom w:type="dxa" w:w="80"/>
              <w:right w:type="dxa" w:w="100"/>
            </w:tcMar>
          </w:tcPr>
          <w:p>
            <w:r>
              <w:rPr>
                <w:b/>
                <w:bCs/>
                <w:color w:val="FFFFFF"/>
                <w:sz w:val="20"/>
                <w:szCs w:val="20"/>
              </w:rPr>
              <w:t xml:space="preserve">Tipo de dato</w:t>
            </w:r>
          </w:p>
        </w:tc>
        <w:tc>
          <w:tcPr>
            <w:tcW w:type="dxa" w:w="3460"/>
            <w:shd w:fill="1F3864" w:val="clear"/>
            <w:tcMar>
              <w:top w:type="dxa" w:w="80"/>
              <w:left w:type="dxa" w:w="100"/>
              <w:bottom w:type="dxa" w:w="80"/>
              <w:right w:type="dxa" w:w="100"/>
            </w:tcMar>
          </w:tcPr>
          <w:p>
            <w:r>
              <w:rPr>
                <w:b/>
                <w:bCs/>
                <w:color w:val="FFFFFF"/>
                <w:sz w:val="20"/>
                <w:szCs w:val="20"/>
              </w:rPr>
              <w:t xml:space="preserve">Qué describe</w:t>
            </w:r>
          </w:p>
        </w:tc>
      </w:tr>
      <w:tr>
        <w:tc>
          <w:tcPr>
            <w:tcW w:type="dxa" w:w="900"/>
            <w:tcMar>
              <w:top w:type="dxa" w:w="80"/>
              <w:left w:type="dxa" w:w="100"/>
              <w:bottom w:type="dxa" w:w="80"/>
              <w:right w:type="dxa" w:w="100"/>
            </w:tcMar>
          </w:tcPr>
          <w:p>
            <w:r>
              <w:rPr>
                <w:b w:val="false"/>
                <w:bCs w:val="false"/>
                <w:color w:val="000000"/>
                <w:sz w:val="20"/>
                <w:szCs w:val="20"/>
              </w:rPr>
              <w:t xml:space="preserve">BH</w:t>
            </w:r>
          </w:p>
        </w:tc>
        <w:tc>
          <w:tcPr>
            <w:tcW w:type="dxa" w:w="2400"/>
            <w:tcMar>
              <w:top w:type="dxa" w:w="80"/>
              <w:left w:type="dxa" w:w="100"/>
              <w:bottom w:type="dxa" w:w="80"/>
              <w:right w:type="dxa" w:w="100"/>
            </w:tcMar>
          </w:tcPr>
          <w:p>
            <w:r>
              <w:rPr>
                <w:b w:val="false"/>
                <w:bCs w:val="false"/>
                <w:color w:val="000000"/>
                <w:sz w:val="20"/>
                <w:szCs w:val="20"/>
              </w:rPr>
              <w:t xml:space="preserve">Byte histogram</w:t>
            </w:r>
          </w:p>
        </w:tc>
        <w:tc>
          <w:tcPr>
            <w:tcW w:type="dxa" w:w="1200"/>
            <w:tcMar>
              <w:top w:type="dxa" w:w="80"/>
              <w:left w:type="dxa" w:w="100"/>
              <w:bottom w:type="dxa" w:w="80"/>
              <w:right w:type="dxa" w:w="100"/>
            </w:tcMar>
          </w:tcPr>
          <w:p>
            <w:r>
              <w:rPr>
                <w:b w:val="false"/>
                <w:bCs w:val="false"/>
                <w:color w:val="000000"/>
                <w:sz w:val="20"/>
                <w:szCs w:val="20"/>
              </w:rPr>
              <w:t xml:space="preserve">256</w:t>
            </w:r>
          </w:p>
        </w:tc>
        <w:tc>
          <w:tcPr>
            <w:tcW w:type="dxa" w:w="1400"/>
            <w:tcMar>
              <w:top w:type="dxa" w:w="80"/>
              <w:left w:type="dxa" w:w="100"/>
              <w:bottom w:type="dxa" w:w="80"/>
              <w:right w:type="dxa" w:w="100"/>
            </w:tcMar>
          </w:tcPr>
          <w:p>
            <w:r>
              <w:rPr>
                <w:b w:val="false"/>
                <w:bCs w:val="false"/>
                <w:color w:val="000000"/>
                <w:sz w:val="20"/>
                <w:szCs w:val="20"/>
              </w:rPr>
              <w:t xml:space="preserve">Float [0,1]</w:t>
            </w:r>
          </w:p>
        </w:tc>
        <w:tc>
          <w:tcPr>
            <w:tcW w:type="dxa" w:w="3460"/>
            <w:tcMar>
              <w:top w:type="dxa" w:w="80"/>
              <w:left w:type="dxa" w:w="100"/>
              <w:bottom w:type="dxa" w:w="80"/>
              <w:right w:type="dxa" w:w="100"/>
            </w:tcMar>
          </w:tcPr>
          <w:p>
            <w:r>
              <w:rPr>
                <w:b w:val="false"/>
                <w:bCs w:val="false"/>
                <w:color w:val="000000"/>
                <w:sz w:val="20"/>
                <w:szCs w:val="20"/>
              </w:rPr>
              <w:t xml:space="preserve">Frecuencia normalizada de cada valor de byte posible en el archivo</w:t>
            </w:r>
          </w:p>
        </w:tc>
      </w:tr>
      <w:tr>
        <w:tc>
          <w:tcPr>
            <w:tcW w:type="dxa" w:w="900"/>
            <w:tcMar>
              <w:top w:type="dxa" w:w="80"/>
              <w:left w:type="dxa" w:w="100"/>
              <w:bottom w:type="dxa" w:w="80"/>
              <w:right w:type="dxa" w:w="100"/>
            </w:tcMar>
          </w:tcPr>
          <w:p>
            <w:r>
              <w:rPr>
                <w:b w:val="false"/>
                <w:bCs w:val="false"/>
                <w:color w:val="000000"/>
                <w:sz w:val="20"/>
                <w:szCs w:val="20"/>
              </w:rPr>
              <w:t xml:space="preserve">BE</w:t>
            </w:r>
          </w:p>
        </w:tc>
        <w:tc>
          <w:tcPr>
            <w:tcW w:type="dxa" w:w="2400"/>
            <w:tcMar>
              <w:top w:type="dxa" w:w="80"/>
              <w:left w:type="dxa" w:w="100"/>
              <w:bottom w:type="dxa" w:w="80"/>
              <w:right w:type="dxa" w:w="100"/>
            </w:tcMar>
          </w:tcPr>
          <w:p>
            <w:r>
              <w:rPr>
                <w:b w:val="false"/>
                <w:bCs w:val="false"/>
                <w:color w:val="000000"/>
                <w:sz w:val="20"/>
                <w:szCs w:val="20"/>
              </w:rPr>
              <w:t xml:space="preserve">Byte-entropy histogram</w:t>
            </w:r>
          </w:p>
        </w:tc>
        <w:tc>
          <w:tcPr>
            <w:tcW w:type="dxa" w:w="1200"/>
            <w:tcMar>
              <w:top w:type="dxa" w:w="80"/>
              <w:left w:type="dxa" w:w="100"/>
              <w:bottom w:type="dxa" w:w="80"/>
              <w:right w:type="dxa" w:w="100"/>
            </w:tcMar>
          </w:tcPr>
          <w:p>
            <w:r>
              <w:rPr>
                <w:b w:val="false"/>
                <w:bCs w:val="false"/>
                <w:color w:val="000000"/>
                <w:sz w:val="20"/>
                <w:szCs w:val="20"/>
              </w:rPr>
              <w:t xml:space="preserve">256</w:t>
            </w:r>
          </w:p>
        </w:tc>
        <w:tc>
          <w:tcPr>
            <w:tcW w:type="dxa" w:w="1400"/>
            <w:tcMar>
              <w:top w:type="dxa" w:w="80"/>
              <w:left w:type="dxa" w:w="100"/>
              <w:bottom w:type="dxa" w:w="80"/>
              <w:right w:type="dxa" w:w="100"/>
            </w:tcMar>
          </w:tcPr>
          <w:p>
            <w:r>
              <w:rPr>
                <w:b w:val="false"/>
                <w:bCs w:val="false"/>
                <w:color w:val="000000"/>
                <w:sz w:val="20"/>
                <w:szCs w:val="20"/>
              </w:rPr>
              <w:t xml:space="preserve">Float [0,1]</w:t>
            </w:r>
          </w:p>
        </w:tc>
        <w:tc>
          <w:tcPr>
            <w:tcW w:type="dxa" w:w="3460"/>
            <w:tcMar>
              <w:top w:type="dxa" w:w="80"/>
              <w:left w:type="dxa" w:w="100"/>
              <w:bottom w:type="dxa" w:w="80"/>
              <w:right w:type="dxa" w:w="100"/>
            </w:tcMar>
          </w:tcPr>
          <w:p>
            <w:r>
              <w:rPr>
                <w:b w:val="false"/>
                <w:bCs w:val="false"/>
                <w:color w:val="000000"/>
                <w:sz w:val="20"/>
                <w:szCs w:val="20"/>
              </w:rPr>
              <w:t xml:space="preserve">Entropía + distribución de bytes; detecta código empaquetado o cifrado</w:t>
            </w:r>
          </w:p>
        </w:tc>
      </w:tr>
      <w:tr>
        <w:tc>
          <w:tcPr>
            <w:tcW w:type="dxa" w:w="900"/>
            <w:tcMar>
              <w:top w:type="dxa" w:w="80"/>
              <w:left w:type="dxa" w:w="100"/>
              <w:bottom w:type="dxa" w:w="80"/>
              <w:right w:type="dxa" w:w="100"/>
            </w:tcMar>
          </w:tcPr>
          <w:p>
            <w:r>
              <w:rPr>
                <w:b w:val="false"/>
                <w:bCs w:val="false"/>
                <w:color w:val="000000"/>
                <w:sz w:val="20"/>
                <w:szCs w:val="20"/>
              </w:rPr>
              <w:t xml:space="preserve">ST</w:t>
            </w:r>
          </w:p>
        </w:tc>
        <w:tc>
          <w:tcPr>
            <w:tcW w:type="dxa" w:w="2400"/>
            <w:tcMar>
              <w:top w:type="dxa" w:w="80"/>
              <w:left w:type="dxa" w:w="100"/>
              <w:bottom w:type="dxa" w:w="80"/>
              <w:right w:type="dxa" w:w="100"/>
            </w:tcMar>
          </w:tcPr>
          <w:p>
            <w:r>
              <w:rPr>
                <w:b w:val="false"/>
                <w:bCs w:val="false"/>
                <w:color w:val="000000"/>
                <w:sz w:val="20"/>
                <w:szCs w:val="20"/>
              </w:rPr>
              <w:t xml:space="preserve">String information</w:t>
            </w:r>
          </w:p>
        </w:tc>
        <w:tc>
          <w:tcPr>
            <w:tcW w:type="dxa" w:w="1200"/>
            <w:tcMar>
              <w:top w:type="dxa" w:w="80"/>
              <w:left w:type="dxa" w:w="100"/>
              <w:bottom w:type="dxa" w:w="80"/>
              <w:right w:type="dxa" w:w="100"/>
            </w:tcMar>
          </w:tcPr>
          <w:p>
            <w:r>
              <w:rPr>
                <w:b w:val="false"/>
                <w:bCs w:val="false"/>
                <w:color w:val="000000"/>
                <w:sz w:val="20"/>
                <w:szCs w:val="20"/>
              </w:rPr>
              <w:t xml:space="preserve">104</w:t>
            </w:r>
          </w:p>
        </w:tc>
        <w:tc>
          <w:tcPr>
            <w:tcW w:type="dxa" w:w="1400"/>
            <w:tcMar>
              <w:top w:type="dxa" w:w="80"/>
              <w:left w:type="dxa" w:w="100"/>
              <w:bottom w:type="dxa" w:w="80"/>
              <w:right w:type="dxa" w:w="100"/>
            </w:tcMar>
          </w:tcPr>
          <w:p>
            <w:r>
              <w:rPr>
                <w:b w:val="false"/>
                <w:bCs w:val="false"/>
                <w:color w:val="000000"/>
                <w:sz w:val="20"/>
                <w:szCs w:val="20"/>
              </w:rPr>
              <w:t xml:space="preserve">Entero</w:t>
            </w:r>
          </w:p>
        </w:tc>
        <w:tc>
          <w:tcPr>
            <w:tcW w:type="dxa" w:w="3460"/>
            <w:tcMar>
              <w:top w:type="dxa" w:w="80"/>
              <w:left w:type="dxa" w:w="100"/>
              <w:bottom w:type="dxa" w:w="80"/>
              <w:right w:type="dxa" w:w="100"/>
            </w:tcMar>
          </w:tcPr>
          <w:p>
            <w:r>
              <w:rPr>
                <w:b w:val="false"/>
                <w:bCs w:val="false"/>
                <w:color w:val="000000"/>
                <w:sz w:val="20"/>
                <w:szCs w:val="20"/>
              </w:rPr>
              <w:t xml:space="preserve">Estadísticas de cadenas de texto legibles (rutas, URLs, etc.)</w:t>
            </w:r>
          </w:p>
        </w:tc>
      </w:tr>
      <w:tr>
        <w:tc>
          <w:tcPr>
            <w:tcW w:type="dxa" w:w="900"/>
            <w:tcMar>
              <w:top w:type="dxa" w:w="80"/>
              <w:left w:type="dxa" w:w="100"/>
              <w:bottom w:type="dxa" w:w="80"/>
              <w:right w:type="dxa" w:w="100"/>
            </w:tcMar>
          </w:tcPr>
          <w:p>
            <w:r>
              <w:rPr>
                <w:b w:val="false"/>
                <w:bCs w:val="false"/>
                <w:color w:val="000000"/>
                <w:sz w:val="20"/>
                <w:szCs w:val="20"/>
              </w:rPr>
              <w:t xml:space="preserve">GE</w:t>
            </w:r>
          </w:p>
        </w:tc>
        <w:tc>
          <w:tcPr>
            <w:tcW w:type="dxa" w:w="2400"/>
            <w:tcMar>
              <w:top w:type="dxa" w:w="80"/>
              <w:left w:type="dxa" w:w="100"/>
              <w:bottom w:type="dxa" w:w="80"/>
              <w:right w:type="dxa" w:w="100"/>
            </w:tcMar>
          </w:tcPr>
          <w:p>
            <w:r>
              <w:rPr>
                <w:b w:val="false"/>
                <w:bCs w:val="false"/>
                <w:color w:val="000000"/>
                <w:sz w:val="20"/>
                <w:szCs w:val="20"/>
              </w:rPr>
              <w:t xml:space="preserve">General file information</w:t>
            </w:r>
          </w:p>
        </w:tc>
        <w:tc>
          <w:tcPr>
            <w:tcW w:type="dxa" w:w="1200"/>
            <w:tcMar>
              <w:top w:type="dxa" w:w="80"/>
              <w:left w:type="dxa" w:w="100"/>
              <w:bottom w:type="dxa" w:w="80"/>
              <w:right w:type="dxa" w:w="100"/>
            </w:tcMar>
          </w:tcPr>
          <w:p>
            <w:r>
              <w:rPr>
                <w:b w:val="false"/>
                <w:bCs w:val="false"/>
                <w:color w:val="000000"/>
                <w:sz w:val="20"/>
                <w:szCs w:val="20"/>
              </w:rPr>
              <w:t xml:space="preserve">10</w:t>
            </w:r>
          </w:p>
        </w:tc>
        <w:tc>
          <w:tcPr>
            <w:tcW w:type="dxa" w:w="1400"/>
            <w:tcMar>
              <w:top w:type="dxa" w:w="80"/>
              <w:left w:type="dxa" w:w="100"/>
              <w:bottom w:type="dxa" w:w="80"/>
              <w:right w:type="dxa" w:w="100"/>
            </w:tcMar>
          </w:tcPr>
          <w:p>
            <w:r>
              <w:rPr>
                <w:b w:val="false"/>
                <w:bCs w:val="false"/>
                <w:color w:val="000000"/>
                <w:sz w:val="20"/>
                <w:szCs w:val="20"/>
              </w:rPr>
              <w:t xml:space="preserve">Entero</w:t>
            </w:r>
          </w:p>
        </w:tc>
        <w:tc>
          <w:tcPr>
            <w:tcW w:type="dxa" w:w="3460"/>
            <w:tcMar>
              <w:top w:type="dxa" w:w="80"/>
              <w:left w:type="dxa" w:w="100"/>
              <w:bottom w:type="dxa" w:w="80"/>
              <w:right w:type="dxa" w:w="100"/>
            </w:tcMar>
          </w:tcPr>
          <w:p>
            <w:r>
              <w:rPr>
                <w:b w:val="false"/>
                <w:bCs w:val="false"/>
                <w:color w:val="000000"/>
                <w:sz w:val="20"/>
                <w:szCs w:val="20"/>
              </w:rPr>
              <w:t xml:space="preserve">Tamaño del archivo, firma digital, símbolos exportados/importados</w:t>
            </w:r>
          </w:p>
        </w:tc>
      </w:tr>
      <w:tr>
        <w:tc>
          <w:tcPr>
            <w:tcW w:type="dxa" w:w="900"/>
            <w:tcMar>
              <w:top w:type="dxa" w:w="80"/>
              <w:left w:type="dxa" w:w="100"/>
              <w:bottom w:type="dxa" w:w="80"/>
              <w:right w:type="dxa" w:w="100"/>
            </w:tcMar>
          </w:tcPr>
          <w:p>
            <w:r>
              <w:rPr>
                <w:b w:val="false"/>
                <w:bCs w:val="false"/>
                <w:color w:val="000000"/>
                <w:sz w:val="20"/>
                <w:szCs w:val="20"/>
              </w:rPr>
              <w:t xml:space="preserve">HE</w:t>
            </w:r>
          </w:p>
        </w:tc>
        <w:tc>
          <w:tcPr>
            <w:tcW w:type="dxa" w:w="2400"/>
            <w:tcMar>
              <w:top w:type="dxa" w:w="80"/>
              <w:left w:type="dxa" w:w="100"/>
              <w:bottom w:type="dxa" w:w="80"/>
              <w:right w:type="dxa" w:w="100"/>
            </w:tcMar>
          </w:tcPr>
          <w:p>
            <w:r>
              <w:rPr>
                <w:b w:val="false"/>
                <w:bCs w:val="false"/>
                <w:color w:val="000000"/>
                <w:sz w:val="20"/>
                <w:szCs w:val="20"/>
              </w:rPr>
              <w:t xml:space="preserve">Header information</w:t>
            </w:r>
          </w:p>
        </w:tc>
        <w:tc>
          <w:tcPr>
            <w:tcW w:type="dxa" w:w="1200"/>
            <w:tcMar>
              <w:top w:type="dxa" w:w="80"/>
              <w:left w:type="dxa" w:w="100"/>
              <w:bottom w:type="dxa" w:w="80"/>
              <w:right w:type="dxa" w:w="100"/>
            </w:tcMar>
          </w:tcPr>
          <w:p>
            <w:r>
              <w:rPr>
                <w:b w:val="false"/>
                <w:bCs w:val="false"/>
                <w:color w:val="000000"/>
                <w:sz w:val="20"/>
                <w:szCs w:val="20"/>
              </w:rPr>
              <w:t xml:space="preserve">62</w:t>
            </w:r>
          </w:p>
        </w:tc>
        <w:tc>
          <w:tcPr>
            <w:tcW w:type="dxa" w:w="1400"/>
            <w:tcMar>
              <w:top w:type="dxa" w:w="80"/>
              <w:left w:type="dxa" w:w="100"/>
              <w:bottom w:type="dxa" w:w="80"/>
              <w:right w:type="dxa" w:w="100"/>
            </w:tcMar>
          </w:tcPr>
          <w:p>
            <w:r>
              <w:rPr>
                <w:b w:val="false"/>
                <w:bCs w:val="false"/>
                <w:color w:val="000000"/>
                <w:sz w:val="20"/>
                <w:szCs w:val="20"/>
              </w:rPr>
              <w:t xml:space="preserve">Entero</w:t>
            </w:r>
          </w:p>
        </w:tc>
        <w:tc>
          <w:tcPr>
            <w:tcW w:type="dxa" w:w="3460"/>
            <w:tcMar>
              <w:top w:type="dxa" w:w="80"/>
              <w:left w:type="dxa" w:w="100"/>
              <w:bottom w:type="dxa" w:w="80"/>
              <w:right w:type="dxa" w:w="100"/>
            </w:tcMar>
          </w:tcPr>
          <w:p>
            <w:r>
              <w:rPr>
                <w:b w:val="false"/>
                <w:bCs w:val="false"/>
                <w:color w:val="000000"/>
                <w:sz w:val="20"/>
                <w:szCs w:val="20"/>
              </w:rPr>
              <w:t xml:space="preserve">Timestamp de compilación, arquitectura, subsistema</w:t>
            </w:r>
          </w:p>
        </w:tc>
      </w:tr>
      <w:tr>
        <w:tc>
          <w:tcPr>
            <w:tcW w:type="dxa" w:w="900"/>
            <w:tcMar>
              <w:top w:type="dxa" w:w="80"/>
              <w:left w:type="dxa" w:w="100"/>
              <w:bottom w:type="dxa" w:w="80"/>
              <w:right w:type="dxa" w:w="100"/>
            </w:tcMar>
          </w:tcPr>
          <w:p>
            <w:r>
              <w:rPr>
                <w:b w:val="false"/>
                <w:bCs w:val="false"/>
                <w:color w:val="000000"/>
                <w:sz w:val="20"/>
                <w:szCs w:val="20"/>
              </w:rPr>
              <w:t xml:space="preserve">SE</w:t>
            </w:r>
          </w:p>
        </w:tc>
        <w:tc>
          <w:tcPr>
            <w:tcW w:type="dxa" w:w="2400"/>
            <w:tcMar>
              <w:top w:type="dxa" w:w="80"/>
              <w:left w:type="dxa" w:w="100"/>
              <w:bottom w:type="dxa" w:w="80"/>
              <w:right w:type="dxa" w:w="100"/>
            </w:tcMar>
          </w:tcPr>
          <w:p>
            <w:r>
              <w:rPr>
                <w:b w:val="false"/>
                <w:bCs w:val="false"/>
                <w:color w:val="000000"/>
                <w:sz w:val="20"/>
                <w:szCs w:val="20"/>
              </w:rPr>
              <w:t xml:space="preserve">Section information</w:t>
            </w:r>
          </w:p>
        </w:tc>
        <w:tc>
          <w:tcPr>
            <w:tcW w:type="dxa" w:w="1200"/>
            <w:tcMar>
              <w:top w:type="dxa" w:w="80"/>
              <w:left w:type="dxa" w:w="100"/>
              <w:bottom w:type="dxa" w:w="80"/>
              <w:right w:type="dxa" w:w="100"/>
            </w:tcMar>
          </w:tcPr>
          <w:p>
            <w:r>
              <w:rPr>
                <w:b w:val="false"/>
                <w:bCs w:val="false"/>
                <w:color w:val="000000"/>
                <w:sz w:val="20"/>
                <w:szCs w:val="20"/>
              </w:rPr>
              <w:t xml:space="preserve">255</w:t>
            </w:r>
          </w:p>
        </w:tc>
        <w:tc>
          <w:tcPr>
            <w:tcW w:type="dxa" w:w="1400"/>
            <w:tcMar>
              <w:top w:type="dxa" w:w="80"/>
              <w:left w:type="dxa" w:w="100"/>
              <w:bottom w:type="dxa" w:w="80"/>
              <w:right w:type="dxa" w:w="100"/>
            </w:tcMar>
          </w:tcPr>
          <w:p>
            <w:r>
              <w:rPr>
                <w:b w:val="false"/>
                <w:bCs w:val="false"/>
                <w:color w:val="000000"/>
                <w:sz w:val="20"/>
                <w:szCs w:val="20"/>
              </w:rPr>
              <w:t xml:space="preserve">Entero (hashing)</w:t>
            </w:r>
          </w:p>
        </w:tc>
        <w:tc>
          <w:tcPr>
            <w:tcW w:type="dxa" w:w="3460"/>
            <w:tcMar>
              <w:top w:type="dxa" w:w="80"/>
              <w:left w:type="dxa" w:w="100"/>
              <w:bottom w:type="dxa" w:w="80"/>
              <w:right w:type="dxa" w:w="100"/>
            </w:tcMar>
          </w:tcPr>
          <w:p>
            <w:r>
              <w:rPr>
                <w:b w:val="false"/>
                <w:bCs w:val="false"/>
                <w:color w:val="000000"/>
                <w:sz w:val="20"/>
                <w:szCs w:val="20"/>
              </w:rPr>
              <w:t xml:space="preserve">Nombre, tamaño y entropía de cada sección (.text, .data, .rsrc)</w:t>
            </w:r>
          </w:p>
        </w:tc>
      </w:tr>
      <w:tr>
        <w:tc>
          <w:tcPr>
            <w:tcW w:type="dxa" w:w="900"/>
            <w:tcMar>
              <w:top w:type="dxa" w:w="80"/>
              <w:left w:type="dxa" w:w="100"/>
              <w:bottom w:type="dxa" w:w="80"/>
              <w:right w:type="dxa" w:w="100"/>
            </w:tcMar>
          </w:tcPr>
          <w:p>
            <w:r>
              <w:rPr>
                <w:b w:val="false"/>
                <w:bCs w:val="false"/>
                <w:color w:val="000000"/>
                <w:sz w:val="20"/>
                <w:szCs w:val="20"/>
              </w:rPr>
              <w:t xml:space="preserve">IM</w:t>
            </w:r>
          </w:p>
        </w:tc>
        <w:tc>
          <w:tcPr>
            <w:tcW w:type="dxa" w:w="2400"/>
            <w:tcMar>
              <w:top w:type="dxa" w:w="80"/>
              <w:left w:type="dxa" w:w="100"/>
              <w:bottom w:type="dxa" w:w="80"/>
              <w:right w:type="dxa" w:w="100"/>
            </w:tcMar>
          </w:tcPr>
          <w:p>
            <w:r>
              <w:rPr>
                <w:b w:val="false"/>
                <w:bCs w:val="false"/>
                <w:color w:val="000000"/>
                <w:sz w:val="20"/>
                <w:szCs w:val="20"/>
              </w:rPr>
              <w:t xml:space="preserve">Imported functions</w:t>
            </w:r>
          </w:p>
        </w:tc>
        <w:tc>
          <w:tcPr>
            <w:tcW w:type="dxa" w:w="1200"/>
            <w:tcMar>
              <w:top w:type="dxa" w:w="80"/>
              <w:left w:type="dxa" w:w="100"/>
              <w:bottom w:type="dxa" w:w="80"/>
              <w:right w:type="dxa" w:w="100"/>
            </w:tcMar>
          </w:tcPr>
          <w:p>
            <w:r>
              <w:rPr>
                <w:b w:val="false"/>
                <w:bCs w:val="false"/>
                <w:color w:val="000000"/>
                <w:sz w:val="20"/>
                <w:szCs w:val="20"/>
              </w:rPr>
              <w:t xml:space="preserve">1.280</w:t>
            </w:r>
          </w:p>
        </w:tc>
        <w:tc>
          <w:tcPr>
            <w:tcW w:type="dxa" w:w="1400"/>
            <w:tcMar>
              <w:top w:type="dxa" w:w="80"/>
              <w:left w:type="dxa" w:w="100"/>
              <w:bottom w:type="dxa" w:w="80"/>
              <w:right w:type="dxa" w:w="100"/>
            </w:tcMar>
          </w:tcPr>
          <w:p>
            <w:r>
              <w:rPr>
                <w:b w:val="false"/>
                <w:bCs w:val="false"/>
                <w:color w:val="000000"/>
                <w:sz w:val="20"/>
                <w:szCs w:val="20"/>
              </w:rPr>
              <w:t xml:space="preserve">Entero (hashing)</w:t>
            </w:r>
          </w:p>
        </w:tc>
        <w:tc>
          <w:tcPr>
            <w:tcW w:type="dxa" w:w="3460"/>
            <w:tcMar>
              <w:top w:type="dxa" w:w="80"/>
              <w:left w:type="dxa" w:w="100"/>
              <w:bottom w:type="dxa" w:w="80"/>
              <w:right w:type="dxa" w:w="100"/>
            </w:tcMar>
          </w:tcPr>
          <w:p>
            <w:r>
              <w:rPr>
                <w:b w:val="false"/>
                <w:bCs w:val="false"/>
                <w:color w:val="000000"/>
                <w:sz w:val="20"/>
                <w:szCs w:val="20"/>
              </w:rPr>
              <w:t xml:space="preserve">Librerías y funciones del sistema operativo que el archivo importa</w:t>
            </w:r>
          </w:p>
        </w:tc>
      </w:tr>
      <w:tr>
        <w:tc>
          <w:tcPr>
            <w:tcW w:type="dxa" w:w="900"/>
            <w:tcMar>
              <w:top w:type="dxa" w:w="80"/>
              <w:left w:type="dxa" w:w="100"/>
              <w:bottom w:type="dxa" w:w="80"/>
              <w:right w:type="dxa" w:w="100"/>
            </w:tcMar>
          </w:tcPr>
          <w:p>
            <w:r>
              <w:rPr>
                <w:b w:val="false"/>
                <w:bCs w:val="false"/>
                <w:color w:val="000000"/>
                <w:sz w:val="20"/>
                <w:szCs w:val="20"/>
              </w:rPr>
              <w:t xml:space="preserve">EX</w:t>
            </w:r>
          </w:p>
        </w:tc>
        <w:tc>
          <w:tcPr>
            <w:tcW w:type="dxa" w:w="2400"/>
            <w:tcMar>
              <w:top w:type="dxa" w:w="80"/>
              <w:left w:type="dxa" w:w="100"/>
              <w:bottom w:type="dxa" w:w="80"/>
              <w:right w:type="dxa" w:w="100"/>
            </w:tcMar>
          </w:tcPr>
          <w:p>
            <w:r>
              <w:rPr>
                <w:b w:val="false"/>
                <w:bCs w:val="false"/>
                <w:color w:val="000000"/>
                <w:sz w:val="20"/>
                <w:szCs w:val="20"/>
              </w:rPr>
              <w:t xml:space="preserve">Exported functions</w:t>
            </w:r>
          </w:p>
        </w:tc>
        <w:tc>
          <w:tcPr>
            <w:tcW w:type="dxa" w:w="1200"/>
            <w:tcMar>
              <w:top w:type="dxa" w:w="80"/>
              <w:left w:type="dxa" w:w="100"/>
              <w:bottom w:type="dxa" w:w="80"/>
              <w:right w:type="dxa" w:w="100"/>
            </w:tcMar>
          </w:tcPr>
          <w:p>
            <w:r>
              <w:rPr>
                <w:b w:val="false"/>
                <w:bCs w:val="false"/>
                <w:color w:val="000000"/>
                <w:sz w:val="20"/>
                <w:szCs w:val="20"/>
              </w:rPr>
              <w:t xml:space="preserve">128</w:t>
            </w:r>
          </w:p>
        </w:tc>
        <w:tc>
          <w:tcPr>
            <w:tcW w:type="dxa" w:w="1400"/>
            <w:tcMar>
              <w:top w:type="dxa" w:w="80"/>
              <w:left w:type="dxa" w:w="100"/>
              <w:bottom w:type="dxa" w:w="80"/>
              <w:right w:type="dxa" w:w="100"/>
            </w:tcMar>
          </w:tcPr>
          <w:p>
            <w:r>
              <w:rPr>
                <w:b w:val="false"/>
                <w:bCs w:val="false"/>
                <w:color w:val="000000"/>
                <w:sz w:val="20"/>
                <w:szCs w:val="20"/>
              </w:rPr>
              <w:t xml:space="preserve">Entero (hashing)</w:t>
            </w:r>
          </w:p>
        </w:tc>
        <w:tc>
          <w:tcPr>
            <w:tcW w:type="dxa" w:w="3460"/>
            <w:tcMar>
              <w:top w:type="dxa" w:w="80"/>
              <w:left w:type="dxa" w:w="100"/>
              <w:bottom w:type="dxa" w:w="80"/>
              <w:right w:type="dxa" w:w="100"/>
            </w:tcMar>
          </w:tcPr>
          <w:p>
            <w:r>
              <w:rPr>
                <w:b w:val="false"/>
                <w:bCs w:val="false"/>
                <w:color w:val="000000"/>
                <w:sz w:val="20"/>
                <w:szCs w:val="20"/>
              </w:rPr>
              <w:t xml:space="preserve">Funciones que el archivo expone (típico en DLLs)</w:t>
            </w:r>
          </w:p>
        </w:tc>
      </w:tr>
      <w:tr>
        <w:tc>
          <w:tcPr>
            <w:tcW w:type="dxa" w:w="900"/>
            <w:tcMar>
              <w:top w:type="dxa" w:w="80"/>
              <w:left w:type="dxa" w:w="100"/>
              <w:bottom w:type="dxa" w:w="80"/>
              <w:right w:type="dxa" w:w="100"/>
            </w:tcMar>
          </w:tcPr>
          <w:p>
            <w:r>
              <w:rPr>
                <w:b w:val="false"/>
                <w:bCs w:val="false"/>
                <w:color w:val="000000"/>
                <w:sz w:val="20"/>
                <w:szCs w:val="20"/>
              </w:rPr>
              <w:t xml:space="preserve">DD</w:t>
            </w:r>
          </w:p>
        </w:tc>
        <w:tc>
          <w:tcPr>
            <w:tcW w:type="dxa" w:w="2400"/>
            <w:tcMar>
              <w:top w:type="dxa" w:w="80"/>
              <w:left w:type="dxa" w:w="100"/>
              <w:bottom w:type="dxa" w:w="80"/>
              <w:right w:type="dxa" w:w="100"/>
            </w:tcMar>
          </w:tcPr>
          <w:p>
            <w:r>
              <w:rPr>
                <w:b w:val="false"/>
                <w:bCs w:val="false"/>
                <w:color w:val="000000"/>
                <w:sz w:val="20"/>
                <w:szCs w:val="20"/>
              </w:rPr>
              <w:t xml:space="preserve">Data Directory</w:t>
            </w:r>
          </w:p>
        </w:tc>
        <w:tc>
          <w:tcPr>
            <w:tcW w:type="dxa" w:w="1200"/>
            <w:tcMar>
              <w:top w:type="dxa" w:w="80"/>
              <w:left w:type="dxa" w:w="100"/>
              <w:bottom w:type="dxa" w:w="80"/>
              <w:right w:type="dxa" w:w="100"/>
            </w:tcMar>
          </w:tcPr>
          <w:p>
            <w:r>
              <w:rPr>
                <w:b w:val="false"/>
                <w:bCs w:val="false"/>
                <w:color w:val="000000"/>
                <w:sz w:val="20"/>
                <w:szCs w:val="20"/>
              </w:rPr>
              <w:t xml:space="preserve">30</w:t>
            </w:r>
          </w:p>
        </w:tc>
        <w:tc>
          <w:tcPr>
            <w:tcW w:type="dxa" w:w="1400"/>
            <w:tcMar>
              <w:top w:type="dxa" w:w="80"/>
              <w:left w:type="dxa" w:w="100"/>
              <w:bottom w:type="dxa" w:w="80"/>
              <w:right w:type="dxa" w:w="100"/>
            </w:tcMar>
          </w:tcPr>
          <w:p>
            <w:r>
              <w:rPr>
                <w:b w:val="false"/>
                <w:bCs w:val="false"/>
                <w:color w:val="000000"/>
                <w:sz w:val="20"/>
                <w:szCs w:val="20"/>
              </w:rPr>
              <w:t xml:space="preserve">Entero</w:t>
            </w:r>
          </w:p>
        </w:tc>
        <w:tc>
          <w:tcPr>
            <w:tcW w:type="dxa" w:w="3460"/>
            <w:tcMar>
              <w:top w:type="dxa" w:w="80"/>
              <w:left w:type="dxa" w:w="100"/>
              <w:bottom w:type="dxa" w:w="80"/>
              <w:right w:type="dxa" w:w="100"/>
            </w:tcMar>
          </w:tcPr>
          <w:p>
            <w:r>
              <w:rPr>
                <w:b w:val="false"/>
                <w:bCs w:val="false"/>
                <w:color w:val="000000"/>
                <w:sz w:val="20"/>
                <w:szCs w:val="20"/>
              </w:rPr>
              <w:t xml:space="preserve">Ubicación de directorios críticos para ejecutar el PE</w:t>
            </w:r>
          </w:p>
        </w:tc>
      </w:tr>
      <w:tr>
        <w:tc>
          <w:tcPr>
            <w:tcW w:type="dxa" w:w="900"/>
            <w:shd w:fill="1F3864" w:val="clear"/>
            <w:tcMar>
              <w:top w:type="dxa" w:w="80"/>
              <w:left w:type="dxa" w:w="100"/>
              <w:bottom w:type="dxa" w:w="80"/>
              <w:right w:type="dxa" w:w="100"/>
            </w:tcMar>
          </w:tcPr>
          <w:p>
            <w:r>
              <w:rPr>
                <w:b/>
                <w:bCs/>
                <w:color w:val="FFFFFF"/>
                <w:sz w:val="20"/>
                <w:szCs w:val="20"/>
              </w:rPr>
              <w:t xml:space="preserve">TOTAL</w:t>
            </w:r>
          </w:p>
        </w:tc>
        <w:tc>
          <w:tcPr>
            <w:tcW w:type="dxa" w:w="2400"/>
            <w:shd w:fill="1F3864" w:val="clear"/>
            <w:tcMar>
              <w:top w:type="dxa" w:w="80"/>
              <w:left w:type="dxa" w:w="100"/>
              <w:bottom w:type="dxa" w:w="80"/>
              <w:right w:type="dxa" w:w="100"/>
            </w:tcMar>
          </w:tcPr>
          <w:p>
            <w:r>
              <w:rPr>
                <w:b/>
                <w:bCs/>
                <w:color w:val="FFFFFF"/>
                <w:sz w:val="20"/>
                <w:szCs w:val="20"/>
              </w:rPr>
              <w:t xml:space="preserve"/>
            </w:r>
          </w:p>
        </w:tc>
        <w:tc>
          <w:tcPr>
            <w:tcW w:type="dxa" w:w="1200"/>
            <w:shd w:fill="1F3864" w:val="clear"/>
            <w:tcMar>
              <w:top w:type="dxa" w:w="80"/>
              <w:left w:type="dxa" w:w="100"/>
              <w:bottom w:type="dxa" w:w="80"/>
              <w:right w:type="dxa" w:w="100"/>
            </w:tcMar>
          </w:tcPr>
          <w:p>
            <w:r>
              <w:rPr>
                <w:b/>
                <w:bCs/>
                <w:color w:val="FFFFFF"/>
                <w:sz w:val="20"/>
                <w:szCs w:val="20"/>
              </w:rPr>
              <w:t xml:space="preserve">2.381</w:t>
            </w:r>
          </w:p>
        </w:tc>
        <w:tc>
          <w:tcPr>
            <w:tcW w:type="dxa" w:w="1400"/>
            <w:shd w:fill="1F3864" w:val="clear"/>
            <w:tcMar>
              <w:top w:type="dxa" w:w="80"/>
              <w:left w:type="dxa" w:w="100"/>
              <w:bottom w:type="dxa" w:w="80"/>
              <w:right w:type="dxa" w:w="100"/>
            </w:tcMar>
          </w:tcPr>
          <w:p>
            <w:r>
              <w:rPr>
                <w:b/>
                <w:bCs/>
                <w:color w:val="FFFFFF"/>
                <w:sz w:val="20"/>
                <w:szCs w:val="20"/>
              </w:rPr>
              <w:t xml:space="preserve"/>
            </w:r>
          </w:p>
        </w:tc>
        <w:tc>
          <w:tcPr>
            <w:tcW w:type="dxa" w:w="3460"/>
            <w:shd w:fill="1F3864" w:val="clear"/>
            <w:tcMar>
              <w:top w:type="dxa" w:w="80"/>
              <w:left w:type="dxa" w:w="100"/>
              <w:bottom w:type="dxa" w:w="80"/>
              <w:right w:type="dxa" w:w="100"/>
            </w:tcMar>
          </w:tcPr>
          <w:p>
            <w:r>
              <w:rPr>
                <w:b/>
                <w:bCs/>
                <w:color w:val="FFFFFF"/>
                <w:sz w:val="20"/>
                <w:szCs w:val="20"/>
              </w:rPr>
              <w:t xml:space="preserve"/>
            </w:r>
          </w:p>
        </w:tc>
      </w:tr>
    </w:tbl>
    <w:p>
      <w:pPr>
        <w:spacing w:after="150" w:before="150"/>
      </w:pPr>
      <w:r>
        <w:rPr>
          <w:b/>
          <w:bCs/>
        </w:rPr>
        <w:t xml:space="preserve">Variable objetivo (label): </w:t>
      </w:r>
      <w:r>
        <w:t xml:space="preserve">-1 = sin etiquetar, 0 = benigno, 1 = malicioso. El proyecto usará únicamente las filas con etiqueta 0 o 1 (600.000 en entrenamiento + 200.000 en prueba).</w:t>
      </w:r>
    </w:p>
    <w:p>
      <w:pPr>
        <w:pStyle w:val="Heading1"/>
        <w:spacing w:after="150" w:before="300"/>
      </w:pPr>
      <w:r>
        <w:rPr>
          <w:b/>
          <w:bCs/>
          <w:color w:val="1F3864"/>
        </w:rPr>
        <w:t xml:space="preserve">4. Coherencia con el alcance del proyecto</w:t>
      </w:r>
    </w:p>
    <w:p>
      <w:pPr>
        <w:spacing w:after="150" w:line="276"/>
        <w:jc w:val="both"/>
      </w:pPr>
      <w:r>
        <w:t xml:space="preserve">Los 9 grupos de características se extraen sin ejecutar el archivo, únicamente analizando su estructura binaria (cabecera, secciones, tabla de importaciones, entropía). Esto confirma que EMBER es compatible en su totalidad con el alcance definido en el anteproyecto: análisis estático de archivos PE.</w:t>
      </w:r>
    </w:p>
    <w:p>
      <w:pPr>
        <w:pStyle w:val="Heading1"/>
        <w:spacing w:after="150" w:before="300"/>
      </w:pPr>
      <w:r>
        <w:rPr>
          <w:b/>
          <w:bCs/>
          <w:color w:val="1F3864"/>
        </w:rPr>
        <w:t xml:space="preserve">5. Fuentes consultadas</w:t>
      </w:r>
    </w:p>
    <w:p>
      <w:pPr>
        <w:spacing w:after="150" w:line="276"/>
        <w:jc w:val="both"/>
      </w:pPr>
      <w:r>
        <w:t xml:space="preserve">• Anderson, H. S. &amp; Roth, P. (2018). EMBER: An Open Dataset for Training Static PE Malware Machine Learning Models. arXiv:1804.04637.</w:t>
      </w:r>
    </w:p>
    <w:p>
      <w:pPr>
        <w:spacing w:after="150" w:line="276"/>
        <w:jc w:val="both"/>
      </w:pPr>
      <w:r>
        <w:t xml:space="preserve">• Connors, C. &amp; Sarkar, D. (2022). Machine Learning for Detecting Malware in PE Files. arXiv:2212.13988. (Fuente de la Tabla 2 con el tamaño exacto de cada grupo de características).</w:t>
      </w:r>
    </w:p>
    <w:p>
      <w:pPr>
        <w:spacing w:after="150" w:line="276"/>
        <w:jc w:val="both"/>
      </w:pPr>
      <w:r>
        <w:t xml:space="preserve">• Repositorio oficial: github.com/elastic/ember</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2026-08-15T14:26:41.711Z</dcterms:created>
  <dcterms:modified xsi:type="dcterms:W3CDTF">2026-08-15T14:26:41.739Z</dcterms:modified>
</cp:coreProperties>
</file>

<file path=docProps/custom.xml><?xml version="1.0" encoding="utf-8"?>
<Properties xmlns="http://schemas.openxmlformats.org/officeDocument/2006/custom-properties" xmlns:vt="http://schemas.openxmlformats.org/officeDocument/2006/docPropsVTypes"/>
</file>