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Protein meal values of soybean genotypes with yield and seed oil comparable to check cultivars, and seed protein superior to check cultivars.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3"/>
        <w:gridCol w:w="2529"/>
        <w:gridCol w:w="3045"/>
        <w:gridCol w:w="1717"/>
        <w:gridCol w:w="2947"/>
        <w:gridCol w:w="3239"/>
      </w:tblGrid>
      <w:tr>
        <w:trPr>
          <w:cantSplit/>
          <w:trHeight w:val="52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Protein meal</w:t>
            </w:r>
          </w:p>
        </w:tc>
      </w:tr>
      <w:tr>
        <w:trPr>
          <w:cantSplit/>
          <w:trHeight w:val="56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</w:p>
        </w:tc>
      </w:tr>
      <w:tr>
        <w:trPr>
          <w:cantSplit/>
          <w:trHeight w:val="56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50.83 (105.7%)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</w:t>
            </w:r>
          </w:p>
        </w:tc>
      </w:tr>
      <w:tr>
        <w:trPr>
          <w:cantSplit/>
          <w:trHeight w:val="561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N18-1783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53.87 (108.5%)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52.68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49.67</w:t>
            </w:r>
          </w:p>
        </w:tc>
      </w:tr>
      <w:tr>
        <w:trPr>
          <w:cantSplit/>
          <w:trHeight w:val="561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52.88 (106.5%)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51.55 (103.8%)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footer6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2022-07-12T13:45:22Z</dcterms:modified>
  <cp:category/>
</cp:coreProperties>
</file>