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2E00" w14:textId="77777777" w:rsidR="00925ED9" w:rsidRDefault="00925ED9" w:rsidP="00925ED9">
      <w:pPr>
        <w:pStyle w:val="Title"/>
      </w:pPr>
      <w:bookmarkStart w:id="0" w:name="Xad77f62067798fee832b0ea49ef681725f0c9b2"/>
      <w:r>
        <w:t>Critical Test Cases for User Journey</w:t>
      </w:r>
    </w:p>
    <w:p w14:paraId="1EDAADBC" w14:textId="77777777" w:rsidR="00925ED9" w:rsidRPr="00FC56B3" w:rsidRDefault="00925ED9" w:rsidP="00925ED9">
      <w:pPr>
        <w:pStyle w:val="Subtitle"/>
        <w:rPr>
          <w:color w:val="auto"/>
        </w:rPr>
      </w:pPr>
      <w:r w:rsidRPr="00FC56B3">
        <w:rPr>
          <w:color w:val="auto"/>
        </w:rPr>
        <w:t>Comprehensive QA Coverage for Authentication, Account Creation, Booking, and Payment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788"/>
        <w:gridCol w:w="4788"/>
      </w:tblGrid>
      <w:tr w:rsidR="00925ED9" w:rsidRPr="00925ED9" w14:paraId="33170C6A" w14:textId="77777777" w:rsidTr="00925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A134F6C" w14:textId="16441727" w:rsidR="00925ED9" w:rsidRPr="00925ED9" w:rsidRDefault="00925ED9" w:rsidP="00925ED9">
            <w:r>
              <w:t>Document Version</w:t>
            </w:r>
          </w:p>
        </w:tc>
        <w:tc>
          <w:tcPr>
            <w:tcW w:w="4788" w:type="dxa"/>
          </w:tcPr>
          <w:p w14:paraId="31DAD480" w14:textId="4D38E213" w:rsidR="00925ED9" w:rsidRPr="00925ED9" w:rsidRDefault="00925ED9" w:rsidP="00925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925ED9" w:rsidRPr="00925ED9" w14:paraId="4201780F" w14:textId="77777777" w:rsidTr="00925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6C232D7" w14:textId="4D67A766" w:rsidR="00925ED9" w:rsidRDefault="00925ED9" w:rsidP="00925ED9">
            <w:r>
              <w:t>Author</w:t>
            </w:r>
          </w:p>
        </w:tc>
        <w:tc>
          <w:tcPr>
            <w:tcW w:w="4788" w:type="dxa"/>
          </w:tcPr>
          <w:p w14:paraId="03251E21" w14:textId="694E00EA" w:rsidR="00925ED9" w:rsidRDefault="00925ED9" w:rsidP="00925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Jesse Heidner</w:t>
            </w:r>
          </w:p>
        </w:tc>
      </w:tr>
      <w:tr w:rsidR="00925ED9" w:rsidRPr="00925ED9" w14:paraId="6859A111" w14:textId="77777777" w:rsidTr="00925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F8A9001" w14:textId="5184FA18" w:rsidR="00925ED9" w:rsidRDefault="00925ED9" w:rsidP="00925ED9">
            <w:r>
              <w:t>Date</w:t>
            </w:r>
          </w:p>
        </w:tc>
        <w:tc>
          <w:tcPr>
            <w:tcW w:w="4788" w:type="dxa"/>
          </w:tcPr>
          <w:p w14:paraId="71C331C7" w14:textId="40AF8ED1" w:rsidR="00925ED9" w:rsidRDefault="00925ED9" w:rsidP="00925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November 2025</w:t>
            </w:r>
          </w:p>
        </w:tc>
      </w:tr>
      <w:tr w:rsidR="00925ED9" w:rsidRPr="00925ED9" w14:paraId="03D1E2C1" w14:textId="77777777" w:rsidTr="00925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0C4C700" w14:textId="25F4A7D5" w:rsidR="00925ED9" w:rsidRDefault="00925ED9" w:rsidP="00925ED9">
            <w:r>
              <w:t>Test Coverage</w:t>
            </w:r>
          </w:p>
        </w:tc>
        <w:tc>
          <w:tcPr>
            <w:tcW w:w="4788" w:type="dxa"/>
          </w:tcPr>
          <w:p w14:paraId="28133480" w14:textId="35D7662E" w:rsidR="00925ED9" w:rsidRDefault="00925ED9" w:rsidP="00925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Authentication, Account Creation, Booking, and Payment</w:t>
            </w:r>
          </w:p>
        </w:tc>
      </w:tr>
    </w:tbl>
    <w:p w14:paraId="29333E5E" w14:textId="77777777" w:rsidR="00925ED9" w:rsidRPr="00033933" w:rsidRDefault="00925ED9" w:rsidP="00925ED9">
      <w:pPr>
        <w:pStyle w:val="Heading1"/>
        <w:rPr>
          <w:color w:val="1F497D" w:themeColor="text2"/>
        </w:rPr>
      </w:pPr>
      <w:r w:rsidRPr="00033933">
        <w:rPr>
          <w:color w:val="1F497D" w:themeColor="text2"/>
        </w:rPr>
        <w:t>Executive Summary</w:t>
      </w:r>
    </w:p>
    <w:p w14:paraId="4BC0479A" w14:textId="650630D1" w:rsidR="00925ED9" w:rsidRDefault="00925ED9" w:rsidP="00925ED9">
      <w:r w:rsidRPr="00925ED9">
        <w:t>This document outlines the 15 most critical test cases for the complete user journey</w:t>
      </w:r>
      <w:r w:rsidR="00916682">
        <w:t xml:space="preserve">, </w:t>
      </w:r>
      <w:r w:rsidRPr="00925ED9">
        <w:t>from initial registration through successful booking completion. These test cases are prioritized based on business impact, revenue protection, and user experience criticality.</w:t>
      </w:r>
    </w:p>
    <w:p w14:paraId="5019A2A8" w14:textId="77777777" w:rsidR="00BB0EF3" w:rsidRDefault="00000000">
      <w:pPr>
        <w:pStyle w:val="BodyText"/>
      </w:pPr>
      <w:bookmarkStart w:id="1" w:name="executive-summary"/>
      <w:r>
        <w:rPr>
          <w:rFonts w:ascii="Arial" w:hAnsi="Arial"/>
          <w:b/>
          <w:bCs/>
        </w:rPr>
        <w:t>Key Coverage Areas:</w:t>
      </w:r>
    </w:p>
    <w:p w14:paraId="0281EA77" w14:textId="77777777" w:rsidR="00BB0EF3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User Authentication &amp; Account Management</w:t>
      </w:r>
    </w:p>
    <w:p w14:paraId="4D0C8C21" w14:textId="77777777" w:rsidR="00BB0EF3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New User Registration &amp; Onboarding</w:t>
      </w:r>
    </w:p>
    <w:p w14:paraId="7568B0F8" w14:textId="77777777" w:rsidR="00BB0EF3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Service Booking &amp; Scheduling Flow</w:t>
      </w:r>
    </w:p>
    <w:p w14:paraId="4C5A08EA" w14:textId="77777777" w:rsidR="00BB0EF3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Payment Processing &amp; Confirmation</w:t>
      </w:r>
    </w:p>
    <w:p w14:paraId="3514C55C" w14:textId="77777777" w:rsidR="00BB0EF3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>End-to-End User Journeys</w:t>
      </w:r>
    </w:p>
    <w:p w14:paraId="23207B42" w14:textId="6822E5DC" w:rsidR="00925ED9" w:rsidRPr="00925ED9" w:rsidRDefault="00925ED9" w:rsidP="00925ED9">
      <w:bookmarkStart w:id="2" w:name="part-1-prioritized-test-case-inventory"/>
      <w:bookmarkEnd w:id="0"/>
      <w:bookmarkEnd w:id="1"/>
    </w:p>
    <w:p w14:paraId="4DB5324F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3" w:name="X74aa70e192ce6fd3f3d7d5678c90a83a776040d"/>
      <w:r w:rsidRPr="00033933">
        <w:rPr>
          <w:rFonts w:ascii="Arial" w:hAnsi="Arial"/>
          <w:color w:val="1F497D" w:themeColor="text2"/>
          <w:sz w:val="28"/>
          <w:szCs w:val="28"/>
        </w:rPr>
        <w:t>1. TC-E2E-001: Complete New User Journey - Registration to Booking</w:t>
      </w:r>
    </w:p>
    <w:p w14:paraId="3B57E2A2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359E23D7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Flow Coverage</w:t>
      </w:r>
      <w:r>
        <w:rPr>
          <w:rFonts w:ascii="Arial" w:hAnsi="Arial"/>
        </w:rPr>
        <w:t>: Registration → Login → Scan Selection → Scheduling → Payment → Confirmation</w:t>
      </w:r>
    </w:p>
    <w:p w14:paraId="0ED1B16C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Validates the entire new customer acquisition funnel from account creation to revenue generation. This test directly impacts growth metrics and first-time customer conversion rates. Failure at any point in this flow results in lost customer acquisition.</w:t>
      </w:r>
    </w:p>
    <w:p w14:paraId="1D902632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Account creation success, first-time login, complete booking flow, payment processing, confirmation generation</w:t>
      </w:r>
    </w:p>
    <w:p w14:paraId="3E161B37" w14:textId="77777777" w:rsidR="00BB0EF3" w:rsidRDefault="00000000">
      <w:pPr>
        <w:pStyle w:val="BodyText"/>
      </w:pPr>
      <w:r>
        <w:rPr>
          <w:rFonts w:ascii="Arial" w:hAnsi="Arial"/>
        </w:rPr>
        <w:br/>
      </w:r>
    </w:p>
    <w:p w14:paraId="711ED8A8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4" w:name="X12b928edc1a7a6546ef1a7b748b57c9d429f318"/>
      <w:bookmarkEnd w:id="3"/>
      <w:r w:rsidRPr="00033933">
        <w:rPr>
          <w:rFonts w:ascii="Arial" w:hAnsi="Arial"/>
          <w:color w:val="1F497D" w:themeColor="text2"/>
          <w:sz w:val="28"/>
          <w:szCs w:val="28"/>
        </w:rPr>
        <w:lastRenderedPageBreak/>
        <w:t>2. TC-AUTH-001: Successful User Authentication</w:t>
      </w:r>
    </w:p>
    <w:p w14:paraId="476A9067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5E32A47F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Login System</w:t>
      </w:r>
    </w:p>
    <w:p w14:paraId="57DD7740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Gateway to all authenticated features and repeat bookings. Impacts returning customer revenue (typically 60-70% of total revenue). Authentication failures block access to booking history, saved payment methods, and new bookings.</w:t>
      </w:r>
    </w:p>
    <w:p w14:paraId="6634A74B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Credential validation, session creation, secure redirect, multi-device support</w:t>
      </w:r>
    </w:p>
    <w:p w14:paraId="0D02C84F" w14:textId="2942BB31" w:rsidR="00BB0EF3" w:rsidRDefault="00BB0EF3">
      <w:pPr>
        <w:pStyle w:val="BodyText"/>
      </w:pPr>
    </w:p>
    <w:p w14:paraId="3ECB2CEE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5" w:name="X82871b8366ab32d8da189f3501b18984c66dce5"/>
      <w:bookmarkEnd w:id="4"/>
      <w:r w:rsidRPr="00033933">
        <w:rPr>
          <w:rFonts w:ascii="Arial" w:hAnsi="Arial"/>
          <w:color w:val="1F497D" w:themeColor="text2"/>
          <w:sz w:val="28"/>
          <w:szCs w:val="28"/>
        </w:rPr>
        <w:t>3. TC-PAYMENT-001: End-to-End Payment Processing</w:t>
      </w:r>
    </w:p>
    <w:p w14:paraId="13878313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50BC36DC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Payment Gateway Integration</w:t>
      </w:r>
    </w:p>
    <w:p w14:paraId="5F917049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Direct revenue capture point. Even with perfect user experience up to this point, payment failure means zero revenue. Must validate payment gateway integration, PCI compliance, and transaction success.</w:t>
      </w:r>
    </w:p>
    <w:p w14:paraId="698D7C9B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Gateway connectivity, transaction authorization, successful capture, receipt generation, order confirmation</w:t>
      </w:r>
    </w:p>
    <w:p w14:paraId="73F22936" w14:textId="00140898" w:rsidR="00BB0EF3" w:rsidRDefault="00BB0EF3">
      <w:pPr>
        <w:pStyle w:val="BodyText"/>
      </w:pPr>
    </w:p>
    <w:p w14:paraId="2C23F3D4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6" w:name="tc-reg-001-new-account-registration-flow"/>
      <w:bookmarkEnd w:id="5"/>
      <w:r w:rsidRPr="00033933">
        <w:rPr>
          <w:rFonts w:ascii="Arial" w:hAnsi="Arial"/>
          <w:color w:val="1F497D" w:themeColor="text2"/>
          <w:sz w:val="28"/>
          <w:szCs w:val="28"/>
        </w:rPr>
        <w:t>4. TC-REG-001: New Account Registration Flow</w:t>
      </w:r>
    </w:p>
    <w:p w14:paraId="7A4DE58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196C54C0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Registration System</w:t>
      </w:r>
    </w:p>
    <w:p w14:paraId="6BFC0D68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Essential for business growth and new customer acquisition. Registration is the entry point for all new users. Poor registration experience leads to immediate customer loss before any revenue opportunity.</w:t>
      </w:r>
    </w:p>
    <w:p w14:paraId="3F9B4FCF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Data validation, account creation, email verification, terms acceptance, initial profile setup</w:t>
      </w:r>
    </w:p>
    <w:p w14:paraId="445189F2" w14:textId="0FA1C654" w:rsidR="00BB0EF3" w:rsidRDefault="00BB0EF3">
      <w:pPr>
        <w:pStyle w:val="BodyText"/>
      </w:pPr>
    </w:p>
    <w:p w14:paraId="0FD06E39" w14:textId="77777777" w:rsidR="008851D5" w:rsidRDefault="008851D5">
      <w:pPr>
        <w:pStyle w:val="BodyText"/>
      </w:pPr>
    </w:p>
    <w:p w14:paraId="69F92815" w14:textId="77777777" w:rsidR="008851D5" w:rsidRDefault="008851D5">
      <w:pPr>
        <w:pStyle w:val="BodyText"/>
      </w:pPr>
    </w:p>
    <w:p w14:paraId="2F96CBBC" w14:textId="77777777" w:rsidR="008851D5" w:rsidRDefault="008851D5">
      <w:pPr>
        <w:pStyle w:val="BodyText"/>
      </w:pPr>
    </w:p>
    <w:p w14:paraId="0725E947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7" w:name="Xc5befc580e49d59cd4824bbc510f68a1e5ad5fb"/>
      <w:bookmarkEnd w:id="6"/>
      <w:r w:rsidRPr="00033933">
        <w:rPr>
          <w:rFonts w:ascii="Arial" w:hAnsi="Arial"/>
          <w:color w:val="1F497D" w:themeColor="text2"/>
          <w:sz w:val="28"/>
          <w:szCs w:val="28"/>
        </w:rPr>
        <w:lastRenderedPageBreak/>
        <w:t>5. TC-BOOKING-001: Service Selection and Scheduling Flow</w:t>
      </w:r>
    </w:p>
    <w:p w14:paraId="5472EC88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57E90FE5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Booking Engine</w:t>
      </w:r>
    </w:p>
    <w:p w14:paraId="2313B303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Core business functionality enabling service delivery. Users must successfully select services, choose locations, and schedule appointments. This is the primary value proposition of the platform.</w:t>
      </w:r>
    </w:p>
    <w:p w14:paraId="45C7465E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Service catalog display, location selection, availability checking, appointment scheduling, data persistence to payment</w:t>
      </w:r>
    </w:p>
    <w:p w14:paraId="08E35A8B" w14:textId="532D6590" w:rsidR="00BB0EF3" w:rsidRDefault="00BB0EF3">
      <w:pPr>
        <w:pStyle w:val="BodyText"/>
      </w:pPr>
    </w:p>
    <w:p w14:paraId="15154A89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8" w:name="X73b751a2a89010e2a8dcbe509b47d474458a592"/>
      <w:bookmarkEnd w:id="7"/>
      <w:r w:rsidRPr="00033933">
        <w:rPr>
          <w:rFonts w:ascii="Arial" w:hAnsi="Arial"/>
          <w:color w:val="1F497D" w:themeColor="text2"/>
          <w:sz w:val="28"/>
          <w:szCs w:val="28"/>
        </w:rPr>
        <w:t>6. TC-AUTH-002: Invalid Login Attempt Handling</w:t>
      </w:r>
    </w:p>
    <w:p w14:paraId="6CD91A8C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5FDC5036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Authentication Security</w:t>
      </w:r>
    </w:p>
    <w:p w14:paraId="21FE226D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Security validation preventing unauthorized access while maintaining usability for legitimate users. Must balance security (preventing brute force) with user experience (clear error messaging).</w:t>
      </w:r>
    </w:p>
    <w:p w14:paraId="75A812A0" w14:textId="4D3E1C50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Error message clarity, account lockout policies, rate limiting, CAPTCHA triggers, audit logging</w:t>
      </w:r>
      <w:r>
        <w:rPr>
          <w:rFonts w:ascii="Arial" w:hAnsi="Arial"/>
        </w:rPr>
        <w:br/>
      </w:r>
    </w:p>
    <w:p w14:paraId="4BDF841A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9" w:name="tc-e2e-002-returning-user-booking-flow"/>
      <w:bookmarkEnd w:id="8"/>
      <w:r w:rsidRPr="00033933">
        <w:rPr>
          <w:rFonts w:ascii="Arial" w:hAnsi="Arial"/>
          <w:color w:val="1F497D" w:themeColor="text2"/>
          <w:sz w:val="28"/>
          <w:szCs w:val="28"/>
        </w:rPr>
        <w:t>7. TC-E2E-002: Returning User Booking Flow</w:t>
      </w:r>
    </w:p>
    <w:p w14:paraId="58DBBC93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P0 (Critical)</w:t>
      </w:r>
    </w:p>
    <w:p w14:paraId="00DE3929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Flow Coverage</w:t>
      </w:r>
      <w:r>
        <w:rPr>
          <w:rFonts w:ascii="Arial" w:hAnsi="Arial"/>
        </w:rPr>
        <w:t>: Login → Booking → Payment → Confirmation</w:t>
      </w:r>
    </w:p>
    <w:p w14:paraId="684380A1" w14:textId="5E3C45CF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 xml:space="preserve">: Returning customers </w:t>
      </w:r>
      <w:r w:rsidR="008851D5">
        <w:rPr>
          <w:rFonts w:ascii="Arial" w:hAnsi="Arial"/>
        </w:rPr>
        <w:t>could have a</w:t>
      </w:r>
      <w:r>
        <w:rPr>
          <w:rFonts w:ascii="Arial" w:hAnsi="Arial"/>
        </w:rPr>
        <w:t xml:space="preserve"> higher lifetime value than new customers. This flow must be optimized for speed and convenience, leveraging saved information and payment methods.</w:t>
      </w:r>
    </w:p>
    <w:p w14:paraId="00AA9D2D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Quick authentication, saved preferences, streamlined booking, stored payment methods, loyalty benefits</w:t>
      </w:r>
    </w:p>
    <w:p w14:paraId="2C5C6984" w14:textId="126F8FD7" w:rsidR="00BB0EF3" w:rsidRDefault="00BB0EF3">
      <w:pPr>
        <w:pStyle w:val="BodyText"/>
      </w:pPr>
    </w:p>
    <w:p w14:paraId="76B16667" w14:textId="77777777" w:rsidR="008851D5" w:rsidRDefault="008851D5">
      <w:pPr>
        <w:pStyle w:val="BodyText"/>
      </w:pPr>
    </w:p>
    <w:p w14:paraId="07C85C9A" w14:textId="77777777" w:rsidR="008851D5" w:rsidRDefault="008851D5">
      <w:pPr>
        <w:pStyle w:val="BodyText"/>
      </w:pPr>
    </w:p>
    <w:p w14:paraId="425D2C37" w14:textId="77777777" w:rsidR="008851D5" w:rsidRDefault="008851D5">
      <w:pPr>
        <w:pStyle w:val="BodyText"/>
      </w:pPr>
    </w:p>
    <w:p w14:paraId="13210CDE" w14:textId="77777777" w:rsidR="008851D5" w:rsidRDefault="008851D5">
      <w:pPr>
        <w:pStyle w:val="BodyText"/>
      </w:pPr>
    </w:p>
    <w:p w14:paraId="7048C032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0" w:name="tc-reg-002-registration-data-validation"/>
      <w:bookmarkEnd w:id="9"/>
      <w:r w:rsidRPr="00033933">
        <w:rPr>
          <w:rFonts w:ascii="Arial" w:hAnsi="Arial"/>
          <w:color w:val="1F497D" w:themeColor="text2"/>
          <w:sz w:val="28"/>
          <w:szCs w:val="28"/>
        </w:rPr>
        <w:lastRenderedPageBreak/>
        <w:t>8. TC-REG-002: Registration Data Validation</w:t>
      </w:r>
    </w:p>
    <w:p w14:paraId="3202424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P1 (High)</w:t>
      </w:r>
    </w:p>
    <w:p w14:paraId="1BB65712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Registration Form Validation</w:t>
      </w:r>
    </w:p>
    <w:p w14:paraId="3D3711E0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Ensures data quality and prevents invalid registrations. Poor data quality leads to communication failures, support tickets, and potential compliance issues (especially for medical services).</w:t>
      </w:r>
    </w:p>
    <w:p w14:paraId="43A35E6A" w14:textId="02F5F452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Email format, password strength, phone validation, date of birth checks, required field enforcement</w:t>
      </w:r>
      <w:r>
        <w:rPr>
          <w:rFonts w:ascii="Arial" w:hAnsi="Arial"/>
        </w:rPr>
        <w:br/>
      </w:r>
    </w:p>
    <w:p w14:paraId="6D69DE4C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1" w:name="Xdae445db628c020457d6de9abfc8c296d64b774"/>
      <w:bookmarkEnd w:id="10"/>
      <w:r w:rsidRPr="00033933">
        <w:rPr>
          <w:rFonts w:ascii="Arial" w:hAnsi="Arial"/>
          <w:color w:val="1F497D" w:themeColor="text2"/>
          <w:sz w:val="28"/>
          <w:szCs w:val="28"/>
        </w:rPr>
        <w:t>9. TC-PAYMENT-002: Multiple Payment Method Support</w:t>
      </w:r>
    </w:p>
    <w:p w14:paraId="118208FE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P1 (High)</w:t>
      </w:r>
    </w:p>
    <w:p w14:paraId="449FA3A8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Payment Options</w:t>
      </w:r>
    </w:p>
    <w:p w14:paraId="3B564464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Payment flexibility reduces cart abandonment by 23% on average. Must support various payment preferences including cards, digital wallets, and alternative payment methods.</w:t>
      </w:r>
    </w:p>
    <w:p w14:paraId="1687C074" w14:textId="721E1E43" w:rsidR="00BB0EF3" w:rsidRDefault="00000000">
      <w:pPr>
        <w:pStyle w:val="BodyText"/>
      </w:pPr>
      <w:r>
        <w:rPr>
          <w:rFonts w:ascii="Arial" w:hAnsi="Arial"/>
          <w:b/>
          <w:bCs/>
        </w:rPr>
        <w:t>Coverage Areas</w:t>
      </w:r>
      <w:r>
        <w:rPr>
          <w:rFonts w:ascii="Arial" w:hAnsi="Arial"/>
        </w:rPr>
        <w:t>: Credit cards, debit cards, digital wallets (Apple Pay, Google Pay), saved payment methods, payment method switching</w:t>
      </w:r>
      <w:r>
        <w:rPr>
          <w:rFonts w:ascii="Arial" w:hAnsi="Arial"/>
        </w:rPr>
        <w:br/>
      </w:r>
    </w:p>
    <w:p w14:paraId="70EEEA98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2" w:name="X06d1454743058a3b18b18a7883f1955ca2b00d4"/>
      <w:bookmarkEnd w:id="11"/>
      <w:r w:rsidRPr="00033933">
        <w:rPr>
          <w:rFonts w:ascii="Arial" w:hAnsi="Arial"/>
          <w:color w:val="1F497D" w:themeColor="text2"/>
          <w:sz w:val="28"/>
          <w:szCs w:val="28"/>
        </w:rPr>
        <w:t>10. TC-AUTH-003: Account Recovery (Password Reset)</w:t>
      </w:r>
    </w:p>
    <w:p w14:paraId="18AABBD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P1 (High)</w:t>
      </w:r>
    </w:p>
    <w:p w14:paraId="68F5BD76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Account Recovery System</w:t>
      </w:r>
    </w:p>
    <w:p w14:paraId="36725034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Critical for retaining users who forget credentials. Support data shows 30% of users attempt password reset at least once. Failed recovery means permanent customer loss.</w:t>
      </w:r>
    </w:p>
    <w:p w14:paraId="5A7BA9CA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Reset request flow, email delivery, secure token validation, password update, immediate login capability</w:t>
      </w:r>
    </w:p>
    <w:p w14:paraId="552D8E7C" w14:textId="172C273A" w:rsidR="00BB0EF3" w:rsidRDefault="00BB0EF3">
      <w:pPr>
        <w:pStyle w:val="BodyText"/>
      </w:pPr>
    </w:p>
    <w:p w14:paraId="4FC01EA9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3" w:name="X02cdd95bdb913d494fa7bbd7a75070453f0c37f"/>
      <w:bookmarkEnd w:id="12"/>
      <w:r w:rsidRPr="00033933">
        <w:rPr>
          <w:rFonts w:ascii="Arial" w:hAnsi="Arial"/>
          <w:color w:val="1F497D" w:themeColor="text2"/>
          <w:sz w:val="28"/>
          <w:szCs w:val="28"/>
        </w:rPr>
        <w:t>11. TC-BOOKING-002: Appointment Management (Modify/Cancel)</w:t>
      </w:r>
    </w:p>
    <w:p w14:paraId="18651DA7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P1 (High)</w:t>
      </w:r>
    </w:p>
    <w:p w14:paraId="7A2F447D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Booking Management System</w:t>
      </w:r>
    </w:p>
    <w:p w14:paraId="026371CA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Post-purchase management reduces support costs by 40% and improves satisfaction. Users need self-service options for scheduling changes, preventing refunds and negative reviews.</w:t>
      </w:r>
    </w:p>
    <w:p w14:paraId="746B16F9" w14:textId="35F0E33E" w:rsidR="00BB0EF3" w:rsidRDefault="00000000">
      <w:pPr>
        <w:pStyle w:val="BodyText"/>
      </w:pPr>
      <w:r>
        <w:rPr>
          <w:rFonts w:ascii="Arial" w:hAnsi="Arial"/>
          <w:b/>
          <w:bCs/>
        </w:rPr>
        <w:lastRenderedPageBreak/>
        <w:t>Coverage Areas</w:t>
      </w:r>
      <w:r>
        <w:rPr>
          <w:rFonts w:ascii="Arial" w:hAnsi="Arial"/>
        </w:rPr>
        <w:t>: View bookings, modify appointments, cancellation flow, refund eligibility, rebooking options</w:t>
      </w:r>
      <w:r>
        <w:rPr>
          <w:rFonts w:ascii="Arial" w:hAnsi="Arial"/>
        </w:rPr>
        <w:br/>
      </w:r>
    </w:p>
    <w:p w14:paraId="4B5D3E8D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4" w:name="tc-reg-003-duplicate-account-prevention"/>
      <w:bookmarkEnd w:id="13"/>
      <w:r w:rsidRPr="00033933">
        <w:rPr>
          <w:rFonts w:ascii="Arial" w:hAnsi="Arial"/>
          <w:color w:val="1F497D" w:themeColor="text2"/>
          <w:sz w:val="28"/>
          <w:szCs w:val="28"/>
        </w:rPr>
        <w:t>12. TC-REG-003: Duplicate Account Prevention</w:t>
      </w:r>
    </w:p>
    <w:p w14:paraId="533576DF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P1 (High)</w:t>
      </w:r>
    </w:p>
    <w:p w14:paraId="451E2613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User Database Integrity</w:t>
      </w:r>
    </w:p>
    <w:p w14:paraId="30A7714F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Maintains database integrity and prevents user confusion. Duplicate accounts lead to split booking history, lost loyalty points, and increased support complexity.</w:t>
      </w:r>
    </w:p>
    <w:p w14:paraId="3A7DB294" w14:textId="7608F7B3" w:rsidR="00BB0EF3" w:rsidRDefault="00000000">
      <w:pPr>
        <w:pStyle w:val="BodyText"/>
      </w:pPr>
      <w:r>
        <w:rPr>
          <w:rFonts w:ascii="Arial" w:hAnsi="Arial"/>
          <w:b/>
          <w:bCs/>
        </w:rPr>
        <w:t>Key Validation Points</w:t>
      </w:r>
      <w:r>
        <w:rPr>
          <w:rFonts w:ascii="Arial" w:hAnsi="Arial"/>
        </w:rPr>
        <w:t>: Email uniqueness check, merge account suggestions, clear messaging, password reset prompts</w:t>
      </w:r>
      <w:r>
        <w:rPr>
          <w:rFonts w:ascii="Arial" w:hAnsi="Arial"/>
        </w:rPr>
        <w:br/>
      </w:r>
    </w:p>
    <w:p w14:paraId="0338A58C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5" w:name="tc-payment-003-payment-failure-recovery"/>
      <w:bookmarkEnd w:id="14"/>
      <w:r w:rsidRPr="00033933">
        <w:rPr>
          <w:rFonts w:ascii="Arial" w:hAnsi="Arial"/>
          <w:color w:val="1F497D" w:themeColor="text2"/>
          <w:sz w:val="28"/>
          <w:szCs w:val="28"/>
        </w:rPr>
        <w:t>13. TC-PAYMENT-003: Payment Failure Recovery</w:t>
      </w:r>
    </w:p>
    <w:p w14:paraId="2F338DCE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P1 (High)</w:t>
      </w:r>
    </w:p>
    <w:p w14:paraId="67D3D62D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Payment Error Handling</w:t>
      </w:r>
    </w:p>
    <w:p w14:paraId="44CC71FC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15% of valid transactions initially fail due to various reasons. Proper error handling and retry mechanisms can recover 60% of these failures, directly impacting revenue.</w:t>
      </w:r>
    </w:p>
    <w:p w14:paraId="723DB120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Coverage Areas</w:t>
      </w:r>
      <w:r>
        <w:rPr>
          <w:rFonts w:ascii="Arial" w:hAnsi="Arial"/>
        </w:rPr>
        <w:t>: Declined card messaging, retry functionality, alternative payment suggestions, booking preservation, support escalation</w:t>
      </w:r>
    </w:p>
    <w:p w14:paraId="43C11DFF" w14:textId="46904EE1" w:rsidR="00BB0EF3" w:rsidRDefault="00BB0EF3">
      <w:pPr>
        <w:pStyle w:val="BodyText"/>
      </w:pPr>
    </w:p>
    <w:p w14:paraId="62A8A5C3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6" w:name="X8e1fda2ae1d0191f596d4aab688b38928807029"/>
      <w:bookmarkEnd w:id="15"/>
      <w:r w:rsidRPr="00033933">
        <w:rPr>
          <w:rFonts w:ascii="Arial" w:hAnsi="Arial"/>
          <w:color w:val="1F497D" w:themeColor="text2"/>
          <w:sz w:val="28"/>
          <w:szCs w:val="28"/>
        </w:rPr>
        <w:t>14. TC-AUTH-004: Session Security and Management</w:t>
      </w:r>
    </w:p>
    <w:p w14:paraId="7AEC19C8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P2 (Medium)</w:t>
      </w:r>
    </w:p>
    <w:p w14:paraId="4EA5F5BB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Component</w:t>
      </w:r>
      <w:r>
        <w:rPr>
          <w:rFonts w:ascii="Arial" w:hAnsi="Arial"/>
        </w:rPr>
        <w:t>: Session Infrastructure</w:t>
      </w:r>
    </w:p>
    <w:p w14:paraId="4FD0EC50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Balances security requirements with user convenience. Improper session handling leads to security vulnerabilities or user frustration from frequent re-authentication.</w:t>
      </w:r>
    </w:p>
    <w:p w14:paraId="1EDCE980" w14:textId="3468C0AE" w:rsidR="00BB0EF3" w:rsidRDefault="00000000">
      <w:pPr>
        <w:pStyle w:val="BodyText"/>
      </w:pPr>
      <w:r>
        <w:rPr>
          <w:rFonts w:ascii="Arial" w:hAnsi="Arial"/>
          <w:b/>
          <w:bCs/>
        </w:rPr>
        <w:t>Coverage Areas</w:t>
      </w:r>
      <w:r>
        <w:rPr>
          <w:rFonts w:ascii="Arial" w:hAnsi="Arial"/>
        </w:rPr>
        <w:t>: Session timeout policies, concurrent session handling, remember me functionality, secure logout, cross-device sessions</w:t>
      </w:r>
    </w:p>
    <w:p w14:paraId="77044F92" w14:textId="77777777" w:rsidR="00925ED9" w:rsidRDefault="00925ED9">
      <w:pPr>
        <w:pStyle w:val="BodyText"/>
      </w:pPr>
    </w:p>
    <w:p w14:paraId="1BF68EB2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7" w:name="Xd1689f584350302d5147a9b012540dd290676eb"/>
      <w:bookmarkEnd w:id="16"/>
      <w:r w:rsidRPr="00033933">
        <w:rPr>
          <w:rFonts w:ascii="Arial" w:hAnsi="Arial"/>
          <w:color w:val="1F497D" w:themeColor="text2"/>
          <w:sz w:val="28"/>
          <w:szCs w:val="28"/>
        </w:rPr>
        <w:t>15. TC-BOOKING-003: Confirmation and Communication Delivery</w:t>
      </w:r>
    </w:p>
    <w:p w14:paraId="5CCD092C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Priority</w:t>
      </w:r>
      <w:r>
        <w:rPr>
          <w:rFonts w:ascii="Arial" w:hAnsi="Arial"/>
        </w:rPr>
        <w:t>: P2 (Medium)</w:t>
      </w:r>
    </w:p>
    <w:p w14:paraId="40E5B3E7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lastRenderedPageBreak/>
        <w:t>Component</w:t>
      </w:r>
      <w:r>
        <w:rPr>
          <w:rFonts w:ascii="Arial" w:hAnsi="Arial"/>
        </w:rPr>
        <w:t>: Communication System</w:t>
      </w:r>
    </w:p>
    <w:p w14:paraId="4733735E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Impact</w:t>
      </w:r>
      <w:r>
        <w:rPr>
          <w:rFonts w:ascii="Arial" w:hAnsi="Arial"/>
        </w:rPr>
        <w:t>: Reduces support inquiries by 35% and builds user confidence. Users need immediate confirmation and clear communication about their bookings through multiple channels.</w:t>
      </w:r>
    </w:p>
    <w:p w14:paraId="1BDDBDCF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Coverage Areas</w:t>
      </w:r>
      <w:r>
        <w:rPr>
          <w:rFonts w:ascii="Arial" w:hAnsi="Arial"/>
        </w:rPr>
        <w:t>: On-screen confirmation, email delivery, SMS notifications, calendar integration, booking summary accuracy</w:t>
      </w:r>
    </w:p>
    <w:p w14:paraId="24C76DD1" w14:textId="77777777" w:rsidR="00BB0EF3" w:rsidRDefault="00000000">
      <w:pPr>
        <w:pStyle w:val="BodyText"/>
      </w:pPr>
      <w:r>
        <w:rPr>
          <w:rFonts w:ascii="Arial" w:hAnsi="Arial"/>
        </w:rPr>
        <w:br/>
      </w:r>
    </w:p>
    <w:p w14:paraId="11CCA692" w14:textId="77777777" w:rsidR="00BB0EF3" w:rsidRPr="00033933" w:rsidRDefault="00000000">
      <w:pPr>
        <w:pStyle w:val="Heading2"/>
        <w:rPr>
          <w:color w:val="1F497D" w:themeColor="text2"/>
        </w:rPr>
      </w:pPr>
      <w:bookmarkStart w:id="18" w:name="X1b4a8085b8ac3bd04db9da198890e3bd69f344d"/>
      <w:bookmarkEnd w:id="2"/>
      <w:bookmarkEnd w:id="17"/>
      <w:r w:rsidRPr="00033933">
        <w:rPr>
          <w:rFonts w:ascii="Arial" w:hAnsi="Arial"/>
          <w:color w:val="1F497D" w:themeColor="text2"/>
          <w:sz w:val="40"/>
        </w:rPr>
        <w:t>Part 2: Strategic Analysis of Top 3 Critical Test Cases</w:t>
      </w:r>
    </w:p>
    <w:p w14:paraId="731EF8FE" w14:textId="44EE61E7" w:rsidR="00BB0EF3" w:rsidRDefault="00BB0EF3">
      <w:pPr>
        <w:pStyle w:val="FirstParagraph"/>
      </w:pPr>
    </w:p>
    <w:p w14:paraId="06430CD5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19" w:name="Xcbc6dba72865f2cd752cdbaac7197a8f24f789a"/>
      <w:r w:rsidRPr="00033933">
        <w:rPr>
          <w:rFonts w:ascii="Arial" w:hAnsi="Arial"/>
          <w:color w:val="1F497D" w:themeColor="text2"/>
          <w:sz w:val="28"/>
          <w:szCs w:val="28"/>
        </w:rPr>
        <w:t>Test Case #1: TC-E2E-001 - Complete New User Journey</w:t>
      </w:r>
    </w:p>
    <w:p w14:paraId="554FF1D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Strategic Importance:</w:t>
      </w:r>
    </w:p>
    <w:p w14:paraId="76FE84BF" w14:textId="77777777" w:rsidR="00BB0EF3" w:rsidRDefault="00000000">
      <w:pPr>
        <w:pStyle w:val="BodyText"/>
      </w:pPr>
      <w:r>
        <w:rPr>
          <w:rFonts w:ascii="Arial" w:hAnsi="Arial"/>
        </w:rPr>
        <w:t xml:space="preserve">This test case represents the </w:t>
      </w:r>
      <w:r>
        <w:rPr>
          <w:rFonts w:ascii="Arial" w:hAnsi="Arial"/>
          <w:b/>
          <w:bCs/>
        </w:rPr>
        <w:t>entire customer acquisition funnel</w:t>
      </w:r>
      <w:r>
        <w:rPr>
          <w:rFonts w:ascii="Arial" w:hAnsi="Arial"/>
        </w:rPr>
        <w:t xml:space="preserve"> - the most critical path for business growth. It validates that the platform can successfully convert visitors into paying customers through the complete journey.</w:t>
      </w:r>
    </w:p>
    <w:p w14:paraId="1D378EF2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Value:</w:t>
      </w:r>
    </w:p>
    <w:p w14:paraId="7773A19E" w14:textId="77777777" w:rsidR="00BB0EF3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Revenue Growth: Every new customer represents immediate revenue and lifetime value potential</w:t>
      </w:r>
    </w:p>
    <w:p w14:paraId="2A0C2415" w14:textId="77777777" w:rsidR="00BB0EF3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Market Expansion: Ability to acquire new customers directly impacts market share and growth metrics</w:t>
      </w:r>
    </w:p>
    <w:p w14:paraId="2ED112DF" w14:textId="77777777" w:rsidR="00BB0EF3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First Impression: The initial experience determines whether users become advocates or detractors</w:t>
      </w:r>
    </w:p>
    <w:p w14:paraId="25CDB54D" w14:textId="77777777" w:rsidR="00BB0EF3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Conversion Optimization: Validates every touchpoint in the conversion funnel works seamlessly</w:t>
      </w:r>
    </w:p>
    <w:p w14:paraId="5FB11EF7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Risk Assessment:</w:t>
      </w:r>
    </w:p>
    <w:p w14:paraId="28FDDB53" w14:textId="77777777" w:rsidR="00BB0EF3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High Impact: Failure blocks all new customer revenue</w:t>
      </w:r>
    </w:p>
    <w:p w14:paraId="2DD3C0B7" w14:textId="77777777" w:rsidR="00BB0EF3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High Visibility: New user issues quickly surface in reviews and social media</w:t>
      </w:r>
    </w:p>
    <w:p w14:paraId="2F9503D9" w14:textId="77777777" w:rsidR="00BB0EF3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Complex Dependencies: Requires all systems (registration, auth, booking, payment) to work in harmony</w:t>
      </w:r>
    </w:p>
    <w:p w14:paraId="02C16DBC" w14:textId="77777777" w:rsidR="00BB0EF3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Data Integrity: User data must flow correctly across multiple systems and databases</w:t>
      </w:r>
    </w:p>
    <w:p w14:paraId="519B66D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Quality Gates:</w:t>
      </w:r>
    </w:p>
    <w:p w14:paraId="51C61483" w14:textId="77777777" w:rsidR="00BB0EF3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Must pass before any production deployment</w:t>
      </w:r>
    </w:p>
    <w:p w14:paraId="370DC978" w14:textId="77777777" w:rsidR="00BB0EF3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Should be part of continuous monitoring in production</w:t>
      </w:r>
    </w:p>
    <w:p w14:paraId="26F6DF4E" w14:textId="77777777" w:rsidR="00BB0EF3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lastRenderedPageBreak/>
        <w:t>Requires both automated and manual validation</w:t>
      </w:r>
    </w:p>
    <w:p w14:paraId="67E17D96" w14:textId="77777777" w:rsidR="00BB0EF3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Performance benchmarks must be maintained (&lt; 30 second total flow completion)</w:t>
      </w:r>
    </w:p>
    <w:p w14:paraId="509BE3EB" w14:textId="2A192C0B" w:rsidR="00BB0EF3" w:rsidRDefault="00BB0EF3">
      <w:pPr>
        <w:pStyle w:val="FirstParagraph"/>
      </w:pPr>
    </w:p>
    <w:p w14:paraId="078394F4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20" w:name="Xd65d48a32c6c3ccd44002776245c036d7289495"/>
      <w:bookmarkEnd w:id="19"/>
      <w:r w:rsidRPr="00033933">
        <w:rPr>
          <w:rFonts w:ascii="Arial" w:hAnsi="Arial"/>
          <w:color w:val="1F497D" w:themeColor="text2"/>
          <w:sz w:val="28"/>
          <w:szCs w:val="28"/>
        </w:rPr>
        <w:t>Test Case #2: TC-AUTH-001 - Successful User Authentication</w:t>
      </w:r>
    </w:p>
    <w:p w14:paraId="5DF5FB4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Strategic Importance:</w:t>
      </w:r>
    </w:p>
    <w:p w14:paraId="40B6AEAF" w14:textId="77777777" w:rsidR="00BB0EF3" w:rsidRDefault="00000000">
      <w:pPr>
        <w:pStyle w:val="BodyText"/>
      </w:pPr>
      <w:r>
        <w:rPr>
          <w:rFonts w:ascii="Arial" w:hAnsi="Arial"/>
        </w:rPr>
        <w:t xml:space="preserve">Authentication serves as the </w:t>
      </w:r>
      <w:r>
        <w:rPr>
          <w:rFonts w:ascii="Arial" w:hAnsi="Arial"/>
          <w:b/>
          <w:bCs/>
        </w:rPr>
        <w:t>critical gateway</w:t>
      </w:r>
      <w:r>
        <w:rPr>
          <w:rFonts w:ascii="Arial" w:hAnsi="Arial"/>
        </w:rPr>
        <w:t xml:space="preserve"> to all revenue-generating activities. It's the foundation of user trust, security, and personalization.</w:t>
      </w:r>
    </w:p>
    <w:p w14:paraId="3B585720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Value:</w:t>
      </w:r>
    </w:p>
    <w:p w14:paraId="47134183" w14:textId="77777777" w:rsidR="00BB0EF3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Revenue Protection: 60-70% of revenue typically comes from returning customers requiring authentication</w:t>
      </w:r>
    </w:p>
    <w:p w14:paraId="48C52517" w14:textId="77777777" w:rsidR="00BB0EF3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Security Compliance: Proper authentication prevents data breaches and maintains regulatory compliance</w:t>
      </w:r>
    </w:p>
    <w:p w14:paraId="4E2CCFC7" w14:textId="77777777" w:rsidR="00BB0EF3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User Trust: Secure, reliable login builds confidence in the platform's security</w:t>
      </w:r>
    </w:p>
    <w:p w14:paraId="282BD8C4" w14:textId="77777777" w:rsidR="00BB0EF3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Operational Efficiency: Working authentication reduces support costs by preventing account access issues</w:t>
      </w:r>
    </w:p>
    <w:p w14:paraId="35279804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Risk Assessment:</w:t>
      </w:r>
    </w:p>
    <w:p w14:paraId="4AFFAFDD" w14:textId="77777777" w:rsidR="00BB0EF3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High Frequency: Most executed function, any issues affect all users immediately</w:t>
      </w:r>
    </w:p>
    <w:p w14:paraId="4E0A8607" w14:textId="77777777" w:rsidR="00BB0EF3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Security Critical: Vulnerabilities could expose user data and payment information</w:t>
      </w:r>
    </w:p>
    <w:p w14:paraId="04C4A518" w14:textId="77777777" w:rsidR="00BB0EF3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Performance Sensitive: Must handle peak loads during high-traffic periods</w:t>
      </w:r>
    </w:p>
    <w:p w14:paraId="06FE4870" w14:textId="77777777" w:rsidR="00BB0EF3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Cross-Platform: Must work across all devices, browsers, and access methods</w:t>
      </w:r>
    </w:p>
    <w:p w14:paraId="642DA56F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Quality Gates:</w:t>
      </w:r>
    </w:p>
    <w:p w14:paraId="46308EBB" w14:textId="77777777" w:rsidR="00BB0EF3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Zero tolerance for security vulnerabilities</w:t>
      </w:r>
    </w:p>
    <w:p w14:paraId="4FE07BFE" w14:textId="77777777" w:rsidR="00BB0EF3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Must maintain sub-second response times</w:t>
      </w:r>
    </w:p>
    <w:p w14:paraId="720193DD" w14:textId="77777777" w:rsidR="00BB0EF3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Requires penetration testing validation</w:t>
      </w:r>
    </w:p>
    <w:p w14:paraId="41928843" w14:textId="77777777" w:rsidR="00BB0EF3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Must support failover and redundancy</w:t>
      </w:r>
    </w:p>
    <w:p w14:paraId="2D82394C" w14:textId="5262C736" w:rsidR="00BB0EF3" w:rsidRDefault="00BB0EF3">
      <w:pPr>
        <w:pStyle w:val="FirstParagraph"/>
      </w:pPr>
    </w:p>
    <w:p w14:paraId="77DCF2F8" w14:textId="77777777" w:rsidR="00BB0EF3" w:rsidRPr="00033933" w:rsidRDefault="00000000">
      <w:pPr>
        <w:pStyle w:val="Heading3"/>
        <w:rPr>
          <w:color w:val="1F497D" w:themeColor="text2"/>
          <w:sz w:val="28"/>
          <w:szCs w:val="28"/>
        </w:rPr>
      </w:pPr>
      <w:bookmarkStart w:id="21" w:name="Xa442caba6dcd6626d7473e22389447983c5ef7b"/>
      <w:bookmarkEnd w:id="20"/>
      <w:r w:rsidRPr="00033933">
        <w:rPr>
          <w:rFonts w:ascii="Arial" w:hAnsi="Arial"/>
          <w:color w:val="1F497D" w:themeColor="text2"/>
          <w:sz w:val="28"/>
          <w:szCs w:val="28"/>
        </w:rPr>
        <w:t>Test Case #3: TC-PAYMENT-001 - End-to-End Payment Processing</w:t>
      </w:r>
    </w:p>
    <w:p w14:paraId="7262168B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Strategic Importance:</w:t>
      </w:r>
    </w:p>
    <w:p w14:paraId="3807B57A" w14:textId="77777777" w:rsidR="00BB0EF3" w:rsidRDefault="00000000">
      <w:pPr>
        <w:pStyle w:val="BodyText"/>
      </w:pPr>
      <w:r>
        <w:rPr>
          <w:rFonts w:ascii="Arial" w:hAnsi="Arial"/>
        </w:rPr>
        <w:t xml:space="preserve">Payment processing is the </w:t>
      </w:r>
      <w:r>
        <w:rPr>
          <w:rFonts w:ascii="Arial" w:hAnsi="Arial"/>
          <w:b/>
          <w:bCs/>
        </w:rPr>
        <w:t>direct revenue capture mechanism</w:t>
      </w:r>
      <w:r>
        <w:rPr>
          <w:rFonts w:ascii="Arial" w:hAnsi="Arial"/>
        </w:rPr>
        <w:t>. All prior user experience efforts culminate at this critical transaction point.</w:t>
      </w:r>
    </w:p>
    <w:p w14:paraId="1AC9E137" w14:textId="77777777" w:rsidR="00BB0EF3" w:rsidRDefault="00000000">
      <w:pPr>
        <w:pStyle w:val="BodyText"/>
      </w:pPr>
      <w:r>
        <w:rPr>
          <w:rFonts w:ascii="Arial" w:hAnsi="Arial"/>
          <w:b/>
          <w:bCs/>
        </w:rPr>
        <w:t>Business Value:</w:t>
      </w:r>
    </w:p>
    <w:p w14:paraId="4DD1B0EE" w14:textId="77777777" w:rsidR="00BB0EF3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Direct Revenue Impact: Every payment failure is immediate lost revenue</w:t>
      </w:r>
    </w:p>
    <w:p w14:paraId="007D6BEA" w14:textId="77777777" w:rsidR="00BB0EF3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lastRenderedPageBreak/>
        <w:t>Cash Flow: Successful payment processing directly affects business cash flow and financial health</w:t>
      </w:r>
    </w:p>
    <w:p w14:paraId="66A18E21" w14:textId="77777777" w:rsidR="00BB0EF3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Trust Factor: Secure, smooth payment builds trust for future transactions</w:t>
      </w:r>
    </w:p>
    <w:p w14:paraId="5ED66294" w14:textId="77777777" w:rsidR="00BB0EF3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Compliance Critical: Must maintain PCI DSS compliance and regional payment regulations</w:t>
      </w:r>
    </w:p>
    <w:p w14:paraId="61909DDB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Risk Assessment:</w:t>
      </w:r>
    </w:p>
    <w:p w14:paraId="0404CF73" w14:textId="77777777" w:rsidR="00BB0EF3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Financial Risk: Payment errors can result in chargebacks, disputes, and financial losses</w:t>
      </w:r>
    </w:p>
    <w:p w14:paraId="4797300A" w14:textId="77777777" w:rsidR="00BB0EF3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Integration Complexity: Third-party gateway dependencies create potential failure points</w:t>
      </w:r>
    </w:p>
    <w:p w14:paraId="0E1AD17E" w14:textId="77777777" w:rsidR="00BB0EF3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Regulatory Risk: Non-compliance can result in fines or loss of payment processing privileges</w:t>
      </w:r>
    </w:p>
    <w:p w14:paraId="35E38ACB" w14:textId="77777777" w:rsidR="00BB0EF3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Fraud Prevention: Must balance security with user experience to prevent fraudulent transactions</w:t>
      </w:r>
    </w:p>
    <w:p w14:paraId="7550542D" w14:textId="77777777" w:rsidR="00BB0EF3" w:rsidRDefault="00000000">
      <w:pPr>
        <w:pStyle w:val="FirstParagraph"/>
      </w:pPr>
      <w:r>
        <w:rPr>
          <w:rFonts w:ascii="Arial" w:hAnsi="Arial"/>
          <w:b/>
          <w:bCs/>
        </w:rPr>
        <w:t>Quality Gates:</w:t>
      </w:r>
    </w:p>
    <w:p w14:paraId="25BA38A9" w14:textId="77777777" w:rsidR="00BB0EF3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Must achieve 99.9% success rate for valid payment attempts</w:t>
      </w:r>
    </w:p>
    <w:p w14:paraId="741C7E0A" w14:textId="77777777" w:rsidR="00BB0EF3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Requires comprehensive security and compliance validation</w:t>
      </w:r>
    </w:p>
    <w:p w14:paraId="041C2CE3" w14:textId="77777777" w:rsidR="00BB0EF3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Must support multiple payment methods and currencies</w:t>
      </w:r>
    </w:p>
    <w:p w14:paraId="47F2BFA1" w14:textId="77777777" w:rsidR="00BB0EF3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</w:rPr>
        <w:t>Needs real-time monitoring and alerting for payment failures</w:t>
      </w:r>
    </w:p>
    <w:p w14:paraId="46AE620C" w14:textId="77777777" w:rsidR="00BB0EF3" w:rsidRDefault="00000000">
      <w:pPr>
        <w:pStyle w:val="FirstParagraph"/>
      </w:pPr>
      <w:r>
        <w:rPr>
          <w:rFonts w:ascii="Arial" w:hAnsi="Arial"/>
        </w:rPr>
        <w:br/>
      </w:r>
    </w:p>
    <w:p w14:paraId="2AF4490B" w14:textId="77777777" w:rsidR="00BB0EF3" w:rsidRPr="00033933" w:rsidRDefault="00000000">
      <w:pPr>
        <w:pStyle w:val="Heading2"/>
        <w:rPr>
          <w:color w:val="1F497D" w:themeColor="text2"/>
        </w:rPr>
      </w:pPr>
      <w:bookmarkStart w:id="22" w:name="part-3-implementation-strategy"/>
      <w:bookmarkEnd w:id="18"/>
      <w:bookmarkEnd w:id="21"/>
      <w:r w:rsidRPr="00033933">
        <w:rPr>
          <w:rFonts w:ascii="Arial" w:hAnsi="Arial"/>
          <w:color w:val="1F497D" w:themeColor="text2"/>
          <w:sz w:val="40"/>
        </w:rPr>
        <w:t>Part 3: Implementation Strategy</w:t>
      </w:r>
    </w:p>
    <w:p w14:paraId="78A2E6F0" w14:textId="328144C6" w:rsidR="00BB0EF3" w:rsidRDefault="00BB0EF3">
      <w:pPr>
        <w:pStyle w:val="FirstParagraph"/>
      </w:pPr>
    </w:p>
    <w:p w14:paraId="1C826B04" w14:textId="77777777" w:rsidR="00BB0EF3" w:rsidRPr="00033933" w:rsidRDefault="00000000">
      <w:pPr>
        <w:pStyle w:val="Heading3"/>
        <w:rPr>
          <w:color w:val="1F497D" w:themeColor="text2"/>
        </w:rPr>
      </w:pPr>
      <w:bookmarkStart w:id="23" w:name="test-coverage-matrix"/>
      <w:r w:rsidRPr="00033933">
        <w:rPr>
          <w:rFonts w:ascii="Arial" w:hAnsi="Arial"/>
          <w:color w:val="1F497D" w:themeColor="text2"/>
          <w:sz w:val="36"/>
        </w:rPr>
        <w:t>Test Coverage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7"/>
        <w:gridCol w:w="3850"/>
        <w:gridCol w:w="1274"/>
        <w:gridCol w:w="2085"/>
      </w:tblGrid>
      <w:tr w:rsidR="00BB0EF3" w14:paraId="24269AC2" w14:textId="77777777" w:rsidTr="00BB0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504C99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Business Area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9762BF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Critical Tests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B41911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Risk Level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329FBC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Automation Priority</w:t>
            </w:r>
          </w:p>
        </w:tc>
      </w:tr>
      <w:tr w:rsidR="00BB0EF3" w14:paraId="370FCAF9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BC570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Customer Acquisition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24608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TC-E2E-001, TC-REG-001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6593EC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E897AE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Immediate</w:t>
            </w:r>
          </w:p>
        </w:tc>
      </w:tr>
      <w:tr w:rsidR="00BB0EF3" w14:paraId="3B4BE664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EA8759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Revenue Processing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5759D2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TC-PAYMENT-001, TC-PAYMENT-002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D83C3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54ABB4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Immediate</w:t>
            </w:r>
          </w:p>
        </w:tc>
      </w:tr>
      <w:tr w:rsidR="00BB0EF3" w14:paraId="788B3E68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D26789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User Retention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AF179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TC-AUTH-001, TC-E2E-002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6E8EB7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Critical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65E190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Immediate</w:t>
            </w:r>
          </w:p>
        </w:tc>
      </w:tr>
      <w:tr w:rsidR="00BB0EF3" w14:paraId="175B0745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6079B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BE8778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TC-AUTH-002, TC-AUTH-004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5FEF59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DDA43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Week 1</w:t>
            </w:r>
          </w:p>
        </w:tc>
      </w:tr>
      <w:tr w:rsidR="00BB0EF3" w14:paraId="5ABF4335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32AE1F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Data Integrity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E9CC0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TC-REG-002, TC-REG-003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E04226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5681D2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Week 2</w:t>
            </w:r>
          </w:p>
        </w:tc>
      </w:tr>
      <w:tr w:rsidR="00BB0EF3" w14:paraId="69BC273E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8233FF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Customer Service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11C57A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TC-BOOKING-002, TC-AUTH-003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D1E5A9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64667A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Week 3</w:t>
            </w:r>
          </w:p>
        </w:tc>
      </w:tr>
      <w:tr w:rsidR="00BB0EF3" w14:paraId="4DD460E1" w14:textId="77777777" w:rsidTr="00BB0EF3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A55F4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Communication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006914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TC-BOOKING-003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CBEC6D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39C201" w14:textId="77777777" w:rsidR="00BB0EF3" w:rsidRDefault="00000000">
            <w:pPr>
              <w:pStyle w:val="Compact"/>
            </w:pPr>
            <w:r>
              <w:rPr>
                <w:rFonts w:ascii="Arial" w:hAnsi="Arial"/>
              </w:rPr>
              <w:t>Week 4</w:t>
            </w:r>
          </w:p>
        </w:tc>
      </w:tr>
    </w:tbl>
    <w:p w14:paraId="67957144" w14:textId="243837D3" w:rsidR="00BB0EF3" w:rsidRDefault="00BB0EF3">
      <w:pPr>
        <w:pStyle w:val="BodyText"/>
      </w:pPr>
    </w:p>
    <w:p w14:paraId="598D7553" w14:textId="08749865" w:rsidR="00BB0EF3" w:rsidRPr="00FC56B3" w:rsidRDefault="00000000" w:rsidP="00E94B19">
      <w:pPr>
        <w:pStyle w:val="Heading3"/>
        <w:rPr>
          <w:color w:val="1F497D" w:themeColor="text2"/>
        </w:rPr>
      </w:pPr>
      <w:bookmarkStart w:id="24" w:name="risk-based-testing-priorities"/>
      <w:bookmarkEnd w:id="23"/>
      <w:r w:rsidRPr="00FC56B3">
        <w:rPr>
          <w:rFonts w:ascii="Arial" w:hAnsi="Arial"/>
          <w:color w:val="1F497D" w:themeColor="text2"/>
          <w:sz w:val="36"/>
        </w:rPr>
        <w:t>Risk-Based Testing Priorities</w:t>
      </w:r>
    </w:p>
    <w:p w14:paraId="22DAE106" w14:textId="77777777" w:rsidR="00BB0EF3" w:rsidRPr="00FC56B3" w:rsidRDefault="00000000">
      <w:pPr>
        <w:pStyle w:val="Heading4"/>
        <w:rPr>
          <w:color w:val="1F497D" w:themeColor="text2"/>
        </w:rPr>
      </w:pPr>
      <w:bookmarkStart w:id="25" w:name="critical-path-must-test-daily"/>
      <w:r w:rsidRPr="00FC56B3">
        <w:rPr>
          <w:rFonts w:ascii="Arial" w:hAnsi="Arial"/>
          <w:color w:val="1F497D" w:themeColor="text2"/>
        </w:rPr>
        <w:t>Critical Path (Must Test Daily):</w:t>
      </w:r>
    </w:p>
    <w:p w14:paraId="41F75DEC" w14:textId="77777777" w:rsidR="00BB0EF3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New user registration to payment</w:t>
      </w:r>
    </w:p>
    <w:p w14:paraId="49DB1029" w14:textId="77777777" w:rsidR="00BB0EF3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Returning user login to payment</w:t>
      </w:r>
    </w:p>
    <w:p w14:paraId="6817908C" w14:textId="74557789" w:rsidR="00BB0EF3" w:rsidRDefault="00000000" w:rsidP="00E94B19">
      <w:pPr>
        <w:pStyle w:val="Compact"/>
        <w:numPr>
          <w:ilvl w:val="0"/>
          <w:numId w:val="12"/>
        </w:numPr>
      </w:pPr>
      <w:r>
        <w:rPr>
          <w:rFonts w:ascii="Arial" w:hAnsi="Arial"/>
        </w:rPr>
        <w:t>Payment processing across all methods</w:t>
      </w:r>
    </w:p>
    <w:p w14:paraId="6B1140B8" w14:textId="77777777" w:rsidR="00BB0EF3" w:rsidRPr="00FC56B3" w:rsidRDefault="00000000">
      <w:pPr>
        <w:pStyle w:val="Heading4"/>
        <w:rPr>
          <w:color w:val="1F497D" w:themeColor="text2"/>
        </w:rPr>
      </w:pPr>
      <w:bookmarkStart w:id="26" w:name="high-priority-test-before-each-release"/>
      <w:bookmarkEnd w:id="25"/>
      <w:r w:rsidRPr="00FC56B3">
        <w:rPr>
          <w:rFonts w:ascii="Arial" w:hAnsi="Arial"/>
          <w:color w:val="1F497D" w:themeColor="text2"/>
        </w:rPr>
        <w:t>High Priority (Test Before Each Release):</w:t>
      </w:r>
    </w:p>
    <w:p w14:paraId="0FECC856" w14:textId="77777777" w:rsidR="00BB0EF3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All authentication scenarios</w:t>
      </w:r>
    </w:p>
    <w:p w14:paraId="09CE3787" w14:textId="77777777" w:rsidR="00BB0EF3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All registration validations</w:t>
      </w:r>
    </w:p>
    <w:p w14:paraId="4734F6EE" w14:textId="77777777" w:rsidR="00BB0EF3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Payment failure scenarios</w:t>
      </w:r>
    </w:p>
    <w:p w14:paraId="3D3E21BB" w14:textId="71FA8910" w:rsidR="00BB0EF3" w:rsidRDefault="00000000" w:rsidP="00E94B19">
      <w:pPr>
        <w:pStyle w:val="Compact"/>
        <w:numPr>
          <w:ilvl w:val="0"/>
          <w:numId w:val="13"/>
        </w:numPr>
      </w:pPr>
      <w:r>
        <w:rPr>
          <w:rFonts w:ascii="Arial" w:hAnsi="Arial"/>
        </w:rPr>
        <w:t>Booking modifications</w:t>
      </w:r>
    </w:p>
    <w:p w14:paraId="13A0C77F" w14:textId="77777777" w:rsidR="00BB0EF3" w:rsidRPr="00FC56B3" w:rsidRDefault="00000000">
      <w:pPr>
        <w:pStyle w:val="Heading4"/>
        <w:rPr>
          <w:color w:val="1F497D" w:themeColor="text2"/>
        </w:rPr>
      </w:pPr>
      <w:bookmarkStart w:id="27" w:name="standard-priority-weekly-regression"/>
      <w:bookmarkEnd w:id="26"/>
      <w:r w:rsidRPr="00FC56B3">
        <w:rPr>
          <w:rFonts w:ascii="Arial" w:hAnsi="Arial"/>
          <w:color w:val="1F497D" w:themeColor="text2"/>
        </w:rPr>
        <w:t>Standard Priority (Weekly Regression):</w:t>
      </w:r>
    </w:p>
    <w:p w14:paraId="1A120E55" w14:textId="77777777" w:rsidR="00BB0EF3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Session management</w:t>
      </w:r>
    </w:p>
    <w:p w14:paraId="41BC9963" w14:textId="77777777" w:rsidR="00BB0EF3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Communication delivery</w:t>
      </w:r>
    </w:p>
    <w:p w14:paraId="7B5541E1" w14:textId="77777777" w:rsidR="00BB0EF3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Edge cases and error scenarios</w:t>
      </w:r>
    </w:p>
    <w:p w14:paraId="10CD498E" w14:textId="33691E47" w:rsidR="00BB0EF3" w:rsidRDefault="00BB0EF3">
      <w:pPr>
        <w:pStyle w:val="FirstParagraph"/>
      </w:pPr>
    </w:p>
    <w:p w14:paraId="39C52B96" w14:textId="4965D579" w:rsidR="00BB0EF3" w:rsidRPr="00FC56B3" w:rsidRDefault="00000000" w:rsidP="00E94B19">
      <w:pPr>
        <w:pStyle w:val="Heading3"/>
        <w:rPr>
          <w:color w:val="1F497D" w:themeColor="text2"/>
        </w:rPr>
      </w:pPr>
      <w:bookmarkStart w:id="28" w:name="success-metrics"/>
      <w:bookmarkEnd w:id="24"/>
      <w:bookmarkEnd w:id="27"/>
      <w:r w:rsidRPr="00FC56B3">
        <w:rPr>
          <w:rFonts w:ascii="Arial" w:hAnsi="Arial"/>
          <w:color w:val="1F497D" w:themeColor="text2"/>
          <w:sz w:val="36"/>
        </w:rPr>
        <w:t>Success Metrics</w:t>
      </w:r>
    </w:p>
    <w:p w14:paraId="5C25F760" w14:textId="77777777" w:rsidR="00BB0EF3" w:rsidRPr="00FC56B3" w:rsidRDefault="00000000">
      <w:pPr>
        <w:pStyle w:val="Heading4"/>
        <w:rPr>
          <w:color w:val="1F497D" w:themeColor="text2"/>
        </w:rPr>
      </w:pPr>
      <w:bookmarkStart w:id="29" w:name="quality-kpis"/>
      <w:r w:rsidRPr="00FC56B3">
        <w:rPr>
          <w:rFonts w:ascii="Arial" w:hAnsi="Arial"/>
          <w:color w:val="1F497D" w:themeColor="text2"/>
        </w:rPr>
        <w:t>Quality KPIs:</w:t>
      </w:r>
    </w:p>
    <w:p w14:paraId="37900E91" w14:textId="77777777" w:rsidR="00BB0EF3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Test Coverage: &gt;95% of critical user journeys</w:t>
      </w:r>
    </w:p>
    <w:p w14:paraId="2C8BB1B6" w14:textId="77777777" w:rsidR="00BB0EF3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Automation Rate: &gt;80% of P0/P1 test cases</w:t>
      </w:r>
    </w:p>
    <w:p w14:paraId="062D4F37" w14:textId="77777777" w:rsidR="00BB0EF3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Defect Escape Rate: &lt;2% for critical flows</w:t>
      </w:r>
    </w:p>
    <w:p w14:paraId="4988C3A5" w14:textId="632CF66D" w:rsidR="00BB0EF3" w:rsidRDefault="00000000" w:rsidP="00E94B19">
      <w:pPr>
        <w:pStyle w:val="Compact"/>
        <w:numPr>
          <w:ilvl w:val="0"/>
          <w:numId w:val="15"/>
        </w:numPr>
      </w:pPr>
      <w:r>
        <w:rPr>
          <w:rFonts w:ascii="Arial" w:hAnsi="Arial"/>
        </w:rPr>
        <w:t>Mean Time to Detection: &lt;2 hours for production issues</w:t>
      </w:r>
    </w:p>
    <w:p w14:paraId="1EC663E4" w14:textId="77777777" w:rsidR="00BB0EF3" w:rsidRPr="00FC56B3" w:rsidRDefault="00000000">
      <w:pPr>
        <w:pStyle w:val="Heading4"/>
        <w:rPr>
          <w:color w:val="1F497D" w:themeColor="text2"/>
        </w:rPr>
      </w:pPr>
      <w:bookmarkStart w:id="30" w:name="business-kpis-impacted"/>
      <w:bookmarkEnd w:id="29"/>
      <w:r w:rsidRPr="00FC56B3">
        <w:rPr>
          <w:rFonts w:ascii="Arial" w:hAnsi="Arial"/>
          <w:color w:val="1F497D" w:themeColor="text2"/>
        </w:rPr>
        <w:t>Business KPIs Impacted:</w:t>
      </w:r>
    </w:p>
    <w:p w14:paraId="3BF2D83A" w14:textId="77777777" w:rsidR="00BB0EF3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Conversion Rate: New user to first booking</w:t>
      </w:r>
    </w:p>
    <w:p w14:paraId="6E5DFDF6" w14:textId="77777777" w:rsidR="00BB0EF3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Payment Success Rate: Successful transactions</w:t>
      </w:r>
    </w:p>
    <w:p w14:paraId="26E4BEDB" w14:textId="77777777" w:rsidR="00BB0EF3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Customer Retention: Returning user bookings</w:t>
      </w:r>
    </w:p>
    <w:p w14:paraId="68A7A4C4" w14:textId="17710517" w:rsidR="00BB0EF3" w:rsidRPr="00E94B19" w:rsidRDefault="00000000" w:rsidP="00E94B19">
      <w:pPr>
        <w:pStyle w:val="Compact"/>
        <w:numPr>
          <w:ilvl w:val="0"/>
          <w:numId w:val="16"/>
        </w:numPr>
      </w:pPr>
      <w:r>
        <w:rPr>
          <w:rFonts w:ascii="Arial" w:hAnsi="Arial"/>
        </w:rPr>
        <w:t>Support Ticket Volume: Login/payment issues</w:t>
      </w:r>
    </w:p>
    <w:p w14:paraId="751CE6AB" w14:textId="77777777" w:rsidR="00E94B19" w:rsidRDefault="00E94B19" w:rsidP="00E94B19">
      <w:pPr>
        <w:pStyle w:val="Compact"/>
        <w:rPr>
          <w:rFonts w:ascii="Arial" w:hAnsi="Arial"/>
        </w:rPr>
      </w:pPr>
    </w:p>
    <w:p w14:paraId="356A0B69" w14:textId="77777777" w:rsidR="00E94B19" w:rsidRDefault="00E94B19" w:rsidP="00E94B19">
      <w:pPr>
        <w:pStyle w:val="Compact"/>
        <w:rPr>
          <w:rFonts w:ascii="Arial" w:hAnsi="Arial"/>
        </w:rPr>
      </w:pPr>
    </w:p>
    <w:p w14:paraId="338EB601" w14:textId="77777777" w:rsidR="00E94B19" w:rsidRDefault="00E94B19" w:rsidP="00E94B19">
      <w:pPr>
        <w:pStyle w:val="Compact"/>
        <w:rPr>
          <w:rFonts w:ascii="Arial" w:hAnsi="Arial"/>
        </w:rPr>
      </w:pPr>
    </w:p>
    <w:p w14:paraId="5A033324" w14:textId="77777777" w:rsidR="00E94B19" w:rsidRDefault="00E94B19" w:rsidP="00E94B19">
      <w:pPr>
        <w:pStyle w:val="Compact"/>
        <w:rPr>
          <w:rFonts w:ascii="Arial" w:hAnsi="Arial"/>
        </w:rPr>
      </w:pPr>
    </w:p>
    <w:p w14:paraId="6D364CD7" w14:textId="77777777" w:rsidR="00E94B19" w:rsidRDefault="00E94B19" w:rsidP="00E94B19">
      <w:pPr>
        <w:pStyle w:val="Compact"/>
        <w:rPr>
          <w:rFonts w:ascii="Arial" w:hAnsi="Arial"/>
        </w:rPr>
      </w:pPr>
    </w:p>
    <w:p w14:paraId="38A1BE6B" w14:textId="77777777" w:rsidR="00E94B19" w:rsidRDefault="00E94B19" w:rsidP="00E94B19">
      <w:pPr>
        <w:pStyle w:val="Compact"/>
      </w:pPr>
    </w:p>
    <w:p w14:paraId="0268E792" w14:textId="77777777" w:rsidR="00BB0EF3" w:rsidRPr="00FC56B3" w:rsidRDefault="00000000">
      <w:pPr>
        <w:pStyle w:val="Heading2"/>
        <w:rPr>
          <w:color w:val="1F497D" w:themeColor="text2"/>
        </w:rPr>
      </w:pPr>
      <w:bookmarkStart w:id="31" w:name="recommendations"/>
      <w:bookmarkEnd w:id="22"/>
      <w:bookmarkEnd w:id="28"/>
      <w:bookmarkEnd w:id="30"/>
      <w:r w:rsidRPr="00FC56B3">
        <w:rPr>
          <w:rFonts w:ascii="Arial" w:hAnsi="Arial"/>
          <w:color w:val="1F497D" w:themeColor="text2"/>
          <w:sz w:val="40"/>
        </w:rPr>
        <w:lastRenderedPageBreak/>
        <w:t>Recommendations</w:t>
      </w:r>
    </w:p>
    <w:p w14:paraId="0D8882E4" w14:textId="65DD0E6E" w:rsidR="00BB0EF3" w:rsidRDefault="00BB0EF3">
      <w:pPr>
        <w:pStyle w:val="FirstParagraph"/>
      </w:pPr>
    </w:p>
    <w:p w14:paraId="491216CF" w14:textId="77777777" w:rsidR="00BB0EF3" w:rsidRPr="00FC56B3" w:rsidRDefault="00000000">
      <w:pPr>
        <w:pStyle w:val="Heading3"/>
        <w:rPr>
          <w:color w:val="1F497D" w:themeColor="text2"/>
          <w:sz w:val="28"/>
          <w:szCs w:val="28"/>
        </w:rPr>
      </w:pPr>
      <w:bookmarkStart w:id="32" w:name="immediate-actions"/>
      <w:r w:rsidRPr="00FC56B3">
        <w:rPr>
          <w:rFonts w:ascii="Arial" w:hAnsi="Arial"/>
          <w:color w:val="1F497D" w:themeColor="text2"/>
          <w:sz w:val="28"/>
          <w:szCs w:val="28"/>
        </w:rPr>
        <w:t>Immediate Actions:</w:t>
      </w:r>
    </w:p>
    <w:p w14:paraId="5601D399" w14:textId="77777777" w:rsidR="00BB0EF3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Automate top 5 critical test cases for continuous execution</w:t>
      </w:r>
    </w:p>
    <w:p w14:paraId="1F1F6A9A" w14:textId="77777777" w:rsidR="00BB0EF3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Implement real-time monitoring for authentication and payment flows</w:t>
      </w:r>
    </w:p>
    <w:p w14:paraId="13495D81" w14:textId="77777777" w:rsidR="00BB0EF3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Establish quality gates preventing deployment if critical tests fail</w:t>
      </w:r>
    </w:p>
    <w:p w14:paraId="6ADEC95E" w14:textId="0A5B21B2" w:rsidR="00BB0EF3" w:rsidRDefault="00000000" w:rsidP="00FC56B3">
      <w:pPr>
        <w:pStyle w:val="Compact"/>
        <w:numPr>
          <w:ilvl w:val="0"/>
          <w:numId w:val="17"/>
        </w:numPr>
      </w:pPr>
      <w:r>
        <w:rPr>
          <w:rFonts w:ascii="Arial" w:hAnsi="Arial"/>
        </w:rPr>
        <w:t>Create performance baselines for all critical user journeys</w:t>
      </w:r>
    </w:p>
    <w:p w14:paraId="7FE0010C" w14:textId="77777777" w:rsidR="00BB0EF3" w:rsidRPr="00FC56B3" w:rsidRDefault="00000000">
      <w:pPr>
        <w:pStyle w:val="Heading3"/>
        <w:rPr>
          <w:color w:val="1F497D" w:themeColor="text2"/>
          <w:sz w:val="28"/>
          <w:szCs w:val="28"/>
        </w:rPr>
      </w:pPr>
      <w:bookmarkStart w:id="33" w:name="strategic-initiatives"/>
      <w:bookmarkEnd w:id="32"/>
      <w:r w:rsidRPr="00FC56B3">
        <w:rPr>
          <w:rFonts w:ascii="Arial" w:hAnsi="Arial"/>
          <w:color w:val="1F497D" w:themeColor="text2"/>
          <w:sz w:val="28"/>
          <w:szCs w:val="28"/>
        </w:rPr>
        <w:t>Strategic Initiatives:</w:t>
      </w:r>
    </w:p>
    <w:p w14:paraId="4F95364D" w14:textId="77777777" w:rsidR="00BB0EF3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Develop comprehensive test data management strategy</w:t>
      </w:r>
    </w:p>
    <w:p w14:paraId="2A50F513" w14:textId="77777777" w:rsidR="00BB0EF3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Implement synthetic monitoring in production</w:t>
      </w:r>
    </w:p>
    <w:p w14:paraId="7ED6B037" w14:textId="77777777" w:rsidR="00BB0EF3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>Create cross-functional incident response procedures</w:t>
      </w:r>
    </w:p>
    <w:p w14:paraId="00EF8245" w14:textId="65286B00" w:rsidR="00BB0EF3" w:rsidRDefault="00000000" w:rsidP="00E94B19">
      <w:pPr>
        <w:pStyle w:val="Compact"/>
        <w:numPr>
          <w:ilvl w:val="0"/>
          <w:numId w:val="18"/>
        </w:numPr>
      </w:pPr>
      <w:r>
        <w:rPr>
          <w:rFonts w:ascii="Arial" w:hAnsi="Arial"/>
        </w:rPr>
        <w:t>Establish SLA agreements for critical flow availability</w:t>
      </w:r>
    </w:p>
    <w:p w14:paraId="7F6554A6" w14:textId="77777777" w:rsidR="00BB0EF3" w:rsidRPr="00FC56B3" w:rsidRDefault="00000000">
      <w:pPr>
        <w:pStyle w:val="Heading3"/>
        <w:rPr>
          <w:color w:val="1F497D" w:themeColor="text2"/>
          <w:sz w:val="28"/>
          <w:szCs w:val="28"/>
        </w:rPr>
      </w:pPr>
      <w:bookmarkStart w:id="34" w:name="continuous-improvement"/>
      <w:bookmarkEnd w:id="33"/>
      <w:r w:rsidRPr="00FC56B3">
        <w:rPr>
          <w:rFonts w:ascii="Arial" w:hAnsi="Arial"/>
          <w:color w:val="1F497D" w:themeColor="text2"/>
          <w:sz w:val="28"/>
          <w:szCs w:val="28"/>
        </w:rPr>
        <w:t>Continuous Improvement:</w:t>
      </w:r>
    </w:p>
    <w:p w14:paraId="6D6D5E5D" w14:textId="77777777" w:rsidR="00BB0EF3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</w:rPr>
        <w:t>Monthly review of test effectiveness based on production issues</w:t>
      </w:r>
    </w:p>
    <w:p w14:paraId="17C9F71F" w14:textId="77777777" w:rsidR="00BB0EF3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</w:rPr>
        <w:t>Quarterly assessment of test coverage gaps</w:t>
      </w:r>
    </w:p>
    <w:p w14:paraId="3A1A11F1" w14:textId="77777777" w:rsidR="00BB0EF3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</w:rPr>
        <w:t>Regular updates based on new features and user flows</w:t>
      </w:r>
    </w:p>
    <w:p w14:paraId="4949A7E4" w14:textId="55EB559E" w:rsidR="00BB0EF3" w:rsidRDefault="00000000" w:rsidP="00E94B19">
      <w:pPr>
        <w:pStyle w:val="Compact"/>
        <w:numPr>
          <w:ilvl w:val="0"/>
          <w:numId w:val="19"/>
        </w:numPr>
      </w:pPr>
      <w:r>
        <w:rPr>
          <w:rFonts w:ascii="Arial" w:hAnsi="Arial"/>
        </w:rPr>
        <w:t>Performance optimization based on test execution metrics</w:t>
      </w:r>
    </w:p>
    <w:p w14:paraId="29BAC16D" w14:textId="77777777" w:rsidR="00BB0EF3" w:rsidRPr="00FC56B3" w:rsidRDefault="00000000">
      <w:pPr>
        <w:pStyle w:val="Heading2"/>
        <w:rPr>
          <w:color w:val="1F497D" w:themeColor="text2"/>
        </w:rPr>
      </w:pPr>
      <w:bookmarkStart w:id="35" w:name="conclusion"/>
      <w:bookmarkEnd w:id="31"/>
      <w:bookmarkEnd w:id="34"/>
      <w:r w:rsidRPr="00FC56B3">
        <w:rPr>
          <w:rFonts w:ascii="Arial" w:hAnsi="Arial"/>
          <w:color w:val="1F497D" w:themeColor="text2"/>
          <w:sz w:val="40"/>
        </w:rPr>
        <w:t>Conclusion</w:t>
      </w:r>
    </w:p>
    <w:p w14:paraId="7C9B4624" w14:textId="77777777" w:rsidR="00BB0EF3" w:rsidRDefault="00000000">
      <w:pPr>
        <w:pStyle w:val="FirstParagraph"/>
      </w:pPr>
      <w:r>
        <w:rPr>
          <w:rFonts w:ascii="Arial" w:hAnsi="Arial"/>
        </w:rPr>
        <w:t>These 15 test cases provide comprehensive coverage of the critical user journey from initial engagement through successful transaction completion. Priority should focus on the top 7 P0 test cases as they directly protect revenue and enable customer acquisition.</w:t>
      </w:r>
    </w:p>
    <w:p w14:paraId="6BDEC138" w14:textId="77777777" w:rsidR="00BB0EF3" w:rsidRDefault="00000000">
      <w:pPr>
        <w:pStyle w:val="BodyText"/>
      </w:pPr>
      <w:r>
        <w:rPr>
          <w:rFonts w:ascii="Arial" w:hAnsi="Arial"/>
        </w:rPr>
        <w:t>The testing strategy must balance thorough validation with rapid deployment cycles, using risk-based approaches to optimize testing efforts. Automation of critical paths is essential for maintaining quality while enabling continuous delivery.</w:t>
      </w:r>
    </w:p>
    <w:p w14:paraId="5BA78225" w14:textId="77777777" w:rsidR="00BB0EF3" w:rsidRDefault="00000000">
      <w:pPr>
        <w:pStyle w:val="BodyText"/>
      </w:pPr>
      <w:r>
        <w:rPr>
          <w:rFonts w:ascii="Arial" w:hAnsi="Arial"/>
        </w:rPr>
        <w:t>Success will be measured not just by test pass rates, but by the business metrics they protect: conversion rates, payment success, customer retention, and overall platform reliability.</w:t>
      </w:r>
      <w:bookmarkEnd w:id="35"/>
    </w:p>
    <w:sectPr w:rsidR="00BB0EF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D04A7" w14:textId="77777777" w:rsidR="00875CA2" w:rsidRDefault="00875CA2">
      <w:pPr>
        <w:spacing w:after="0"/>
      </w:pPr>
      <w:r>
        <w:separator/>
      </w:r>
    </w:p>
  </w:endnote>
  <w:endnote w:type="continuationSeparator" w:id="0">
    <w:p w14:paraId="43E976D5" w14:textId="77777777" w:rsidR="00875CA2" w:rsidRDefault="00875C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6415F" w14:textId="77777777" w:rsidR="00875CA2" w:rsidRDefault="00875CA2">
      <w:r>
        <w:separator/>
      </w:r>
    </w:p>
  </w:footnote>
  <w:footnote w:type="continuationSeparator" w:id="0">
    <w:p w14:paraId="09C3D406" w14:textId="77777777" w:rsidR="00875CA2" w:rsidRDefault="00875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66E7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CA4B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5202779"/>
    <w:multiLevelType w:val="hybridMultilevel"/>
    <w:tmpl w:val="0A54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582458">
    <w:abstractNumId w:val="0"/>
  </w:num>
  <w:num w:numId="2" w16cid:durableId="1943996561">
    <w:abstractNumId w:val="1"/>
  </w:num>
  <w:num w:numId="3" w16cid:durableId="1352613156">
    <w:abstractNumId w:val="1"/>
  </w:num>
  <w:num w:numId="4" w16cid:durableId="994574352">
    <w:abstractNumId w:val="1"/>
  </w:num>
  <w:num w:numId="5" w16cid:durableId="1089809296">
    <w:abstractNumId w:val="1"/>
  </w:num>
  <w:num w:numId="6" w16cid:durableId="1810589423">
    <w:abstractNumId w:val="1"/>
  </w:num>
  <w:num w:numId="7" w16cid:durableId="592517235">
    <w:abstractNumId w:val="1"/>
  </w:num>
  <w:num w:numId="8" w16cid:durableId="473835757">
    <w:abstractNumId w:val="1"/>
  </w:num>
  <w:num w:numId="9" w16cid:durableId="976028048">
    <w:abstractNumId w:val="1"/>
  </w:num>
  <w:num w:numId="10" w16cid:durableId="1437403333">
    <w:abstractNumId w:val="1"/>
  </w:num>
  <w:num w:numId="11" w16cid:durableId="554925770">
    <w:abstractNumId w:val="1"/>
  </w:num>
  <w:num w:numId="12" w16cid:durableId="411514854">
    <w:abstractNumId w:val="1"/>
  </w:num>
  <w:num w:numId="13" w16cid:durableId="1336610218">
    <w:abstractNumId w:val="1"/>
  </w:num>
  <w:num w:numId="14" w16cid:durableId="159278953">
    <w:abstractNumId w:val="1"/>
  </w:num>
  <w:num w:numId="15" w16cid:durableId="86077960">
    <w:abstractNumId w:val="1"/>
  </w:num>
  <w:num w:numId="16" w16cid:durableId="1058020172">
    <w:abstractNumId w:val="1"/>
  </w:num>
  <w:num w:numId="17" w16cid:durableId="1356080396">
    <w:abstractNumId w:val="1"/>
  </w:num>
  <w:num w:numId="18" w16cid:durableId="939486123">
    <w:abstractNumId w:val="1"/>
  </w:num>
  <w:num w:numId="19" w16cid:durableId="1221673744">
    <w:abstractNumId w:val="1"/>
  </w:num>
  <w:num w:numId="20" w16cid:durableId="118262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EF3"/>
    <w:rsid w:val="00033933"/>
    <w:rsid w:val="002C47A4"/>
    <w:rsid w:val="00875CA2"/>
    <w:rsid w:val="008851D5"/>
    <w:rsid w:val="00916682"/>
    <w:rsid w:val="00925ED9"/>
    <w:rsid w:val="00BB0EF3"/>
    <w:rsid w:val="00E94B19"/>
    <w:rsid w:val="00FC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08974"/>
  <w15:docId w15:val="{6FB6A0E2-8C4C-4FC3-AAA2-0C3BED63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25E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rsid w:val="00925E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rsid w:val="00925ED9"/>
    <w:pPr>
      <w:ind w:left="720"/>
      <w:contextualSpacing/>
    </w:pPr>
  </w:style>
  <w:style w:type="paragraph" w:styleId="Header">
    <w:name w:val="header"/>
    <w:basedOn w:val="Normal"/>
    <w:link w:val="HeaderChar"/>
    <w:rsid w:val="0003393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33933"/>
  </w:style>
  <w:style w:type="paragraph" w:styleId="Footer">
    <w:name w:val="footer"/>
    <w:basedOn w:val="Normal"/>
    <w:link w:val="FooterChar"/>
    <w:rsid w:val="0003393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33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1766</Words>
  <Characters>12117</Characters>
  <Application>Microsoft Office Word</Application>
  <DocSecurity>0</DocSecurity>
  <Lines>403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Jesse Heidner</cp:lastModifiedBy>
  <cp:revision>5</cp:revision>
  <dcterms:created xsi:type="dcterms:W3CDTF">2022-01-01T05:00:00Z</dcterms:created>
  <dcterms:modified xsi:type="dcterms:W3CDTF">2025-11-11T22:45:00Z</dcterms:modified>
</cp:coreProperties>
</file>