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AC225" w14:textId="77777777" w:rsidR="00300E8E" w:rsidRDefault="00300E8E" w:rsidP="00300E8E">
      <w:pPr>
        <w:pStyle w:val="Title"/>
      </w:pPr>
      <w:r>
        <w:t>Security Quality Management Strategy</w:t>
      </w:r>
    </w:p>
    <w:p w14:paraId="2F438667" w14:textId="77777777" w:rsidR="00300E8E" w:rsidRDefault="00300E8E" w:rsidP="00300E8E">
      <w:pPr>
        <w:pStyle w:val="Heading1"/>
      </w:pPr>
      <w:r>
        <w:t>Summary</w:t>
      </w:r>
    </w:p>
    <w:p w14:paraId="1CFDC595" w14:textId="77777777" w:rsidR="00300E8E" w:rsidRDefault="00300E8E" w:rsidP="00300E8E">
      <w:r w:rsidRPr="00300E8E">
        <w:t>The Security Quality Management Strategy focuses on a risk-based, automated testing approach designed to ensure robust protection while maintaining efficiency. The framework classifies endpoints into three distinct tiers based on their criticality:</w:t>
      </w:r>
    </w:p>
    <w:p w14:paraId="7D6C8411" w14:textId="77777777" w:rsidR="00300E8E" w:rsidRDefault="00300E8E" w:rsidP="00300E8E">
      <w:pPr>
        <w:pStyle w:val="ListParagraph"/>
        <w:numPr>
          <w:ilvl w:val="0"/>
          <w:numId w:val="1"/>
        </w:numPr>
      </w:pPr>
      <w:r w:rsidRPr="00300E8E">
        <w:t>Tier 1 (Critical): This tier includes endpoints handling medical data, authentication, and payments. These are tested on every build to safeguard the most sensitive operations.</w:t>
      </w:r>
    </w:p>
    <w:p w14:paraId="4A4A632D" w14:textId="77777777" w:rsidR="00300E8E" w:rsidRDefault="00300E8E" w:rsidP="00300E8E">
      <w:pPr>
        <w:pStyle w:val="ListParagraph"/>
        <w:numPr>
          <w:ilvl w:val="0"/>
          <w:numId w:val="1"/>
        </w:numPr>
      </w:pPr>
      <w:r w:rsidRPr="00300E8E">
        <w:t xml:space="preserve">Tier 2 (High): Endpoints such as booking and dashboard fall into this category and are tested </w:t>
      </w:r>
      <w:proofErr w:type="gramStart"/>
      <w:r w:rsidRPr="00300E8E">
        <w:t>on a daily basis</w:t>
      </w:r>
      <w:proofErr w:type="gramEnd"/>
      <w:r w:rsidRPr="00300E8E">
        <w:t xml:space="preserve"> to address significant but less critical risks.</w:t>
      </w:r>
    </w:p>
    <w:p w14:paraId="3E280BC6" w14:textId="77777777" w:rsidR="00300E8E" w:rsidRDefault="00300E8E" w:rsidP="00300E8E">
      <w:pPr>
        <w:pStyle w:val="ListParagraph"/>
        <w:numPr>
          <w:ilvl w:val="0"/>
          <w:numId w:val="1"/>
        </w:numPr>
      </w:pPr>
      <w:r w:rsidRPr="00300E8E">
        <w:t>Tier 3 (Medium): These endpoints are subject to weekly testing, focusing on areas with moderate risk exposure.</w:t>
      </w:r>
    </w:p>
    <w:p w14:paraId="0E330BA0" w14:textId="77777777" w:rsidR="00300E8E" w:rsidRDefault="00300E8E" w:rsidP="00300E8E">
      <w:r w:rsidRPr="00300E8E">
        <w:t>Security test templates are developed for key concerns including authentication, authorization, input validation, and data protection. These templates are reusable and applied consistently across all endpoints. An endpoint security registry is maintained to track metadata, compliance status, and coverage, ensuring visibility and accountability.</w:t>
      </w:r>
    </w:p>
    <w:p w14:paraId="55AC516D" w14:textId="77777777" w:rsidR="00300E8E" w:rsidRDefault="00300E8E" w:rsidP="00300E8E">
      <w:r w:rsidRPr="00300E8E">
        <w:t>Testing is tightly integrated into the CI/CD pipeline, with fast pre-commit checks, pull request (PR) tests, and comprehensive pre-production test suites. This integration guarantees that security is continuously validated throughout development.</w:t>
      </w:r>
    </w:p>
    <w:p w14:paraId="32995176" w14:textId="77777777" w:rsidR="00300E8E" w:rsidRDefault="00300E8E" w:rsidP="00300E8E">
      <w:pPr>
        <w:pStyle w:val="Heading2"/>
      </w:pPr>
      <w:r>
        <w:t>Tradeoffs</w:t>
      </w:r>
    </w:p>
    <w:p w14:paraId="4FFA1C99" w14:textId="77777777" w:rsidR="00300E8E" w:rsidRDefault="00300E8E" w:rsidP="00300E8E">
      <w:r w:rsidRPr="00300E8E">
        <w:t>Several tradeoffs are considered within this strategy. Prioritizing coverage versus execution time means that the risk-based approach may overlook issues in lower-priority endpoints but ensures rapid validation for critical areas. Automation is favored for scalability, covering 80% of tests, while manual testing delivers depth for the remaining 20%. The strategy employs a hybrid toolchain, leveraging commercial scanners for widespread vulnerabilities and custom frameworks for business-specific compliance needs. Overall, the approach balances broad coverage with reasonable execution times—ensuring the full test suite completes in under 30 minutes—and keeps maintenance manageable.</w:t>
      </w:r>
    </w:p>
    <w:p w14:paraId="7BB9253E" w14:textId="77777777" w:rsidR="00300E8E" w:rsidRDefault="00300E8E" w:rsidP="00300E8E">
      <w:pPr>
        <w:pStyle w:val="Heading2"/>
      </w:pPr>
      <w:r>
        <w:t>Risks and Mitigation</w:t>
      </w:r>
    </w:p>
    <w:p w14:paraId="6366CF2E" w14:textId="77777777" w:rsidR="00300E8E" w:rsidRDefault="00300E8E" w:rsidP="00300E8E">
      <w:r w:rsidRPr="00300E8E">
        <w:t xml:space="preserve">Key risks include false positives and negatives, which are addressed through triage and test refinement. Maintenance overhead is minimized by using reusable templates and </w:t>
      </w:r>
      <w:r w:rsidRPr="00300E8E">
        <w:lastRenderedPageBreak/>
        <w:t>automated endpoint discovery. To combat coverage gaps, regular audits and annual penetration testing are performed. Compliance gaps are mitigated by mapping requirements and automating validation processes. The most pressing risk—coverage gaps in lower-priority endpoints—is managed through quarterly audits and proactive threat modeling.</w:t>
      </w:r>
    </w:p>
    <w:p w14:paraId="2B8697D9" w14:textId="77777777" w:rsidR="00300E8E" w:rsidRDefault="00300E8E" w:rsidP="00300E8E">
      <w:pPr>
        <w:pStyle w:val="Heading2"/>
      </w:pPr>
      <w:r>
        <w:t>Implementation</w:t>
      </w:r>
    </w:p>
    <w:p w14:paraId="16161B59" w14:textId="77777777" w:rsidR="00300E8E" w:rsidRDefault="00300E8E" w:rsidP="00300E8E">
      <w:r w:rsidRPr="00300E8E">
        <w:t>The strategy is rolled out in phases over a 6–</w:t>
      </w:r>
      <w:proofErr w:type="gramStart"/>
      <w:r w:rsidRPr="00300E8E">
        <w:t>12 month</w:t>
      </w:r>
      <w:proofErr w:type="gramEnd"/>
      <w:r w:rsidRPr="00300E8E">
        <w:t xml:space="preserve"> period:</w:t>
      </w:r>
    </w:p>
    <w:p w14:paraId="4FA8755B" w14:textId="77777777" w:rsidR="00300E8E" w:rsidRDefault="00300E8E" w:rsidP="00300E8E">
      <w:pPr>
        <w:pStyle w:val="ListParagraph"/>
        <w:numPr>
          <w:ilvl w:val="0"/>
          <w:numId w:val="2"/>
        </w:numPr>
      </w:pPr>
      <w:r w:rsidRPr="00300E8E">
        <w:t>Phase 1: Establish the endpoint registry and security test templates.</w:t>
      </w:r>
    </w:p>
    <w:p w14:paraId="0D9D23BF" w14:textId="77777777" w:rsidR="00300E8E" w:rsidRDefault="00300E8E" w:rsidP="00300E8E">
      <w:pPr>
        <w:pStyle w:val="ListParagraph"/>
        <w:numPr>
          <w:ilvl w:val="0"/>
          <w:numId w:val="2"/>
        </w:numPr>
      </w:pPr>
      <w:r w:rsidRPr="00300E8E">
        <w:t>Phase 2: Implement critical endpoint tests.</w:t>
      </w:r>
    </w:p>
    <w:p w14:paraId="0C2114C6" w14:textId="77777777" w:rsidR="00300E8E" w:rsidRDefault="00300E8E" w:rsidP="00300E8E">
      <w:pPr>
        <w:pStyle w:val="ListParagraph"/>
        <w:numPr>
          <w:ilvl w:val="0"/>
          <w:numId w:val="2"/>
        </w:numPr>
      </w:pPr>
      <w:r w:rsidRPr="00300E8E">
        <w:t>Phase 3: Scale testing to high-risk endpoints.</w:t>
      </w:r>
    </w:p>
    <w:p w14:paraId="1791DB30" w14:textId="77777777" w:rsidR="00300E8E" w:rsidRDefault="00300E8E" w:rsidP="00300E8E">
      <w:pPr>
        <w:pStyle w:val="ListParagraph"/>
        <w:numPr>
          <w:ilvl w:val="0"/>
          <w:numId w:val="2"/>
        </w:numPr>
      </w:pPr>
      <w:r w:rsidRPr="00300E8E">
        <w:t>Phase 4: Achieve full coverage of all endpoints.</w:t>
      </w:r>
    </w:p>
    <w:p w14:paraId="60351198" w14:textId="77777777" w:rsidR="00300E8E" w:rsidRDefault="00300E8E" w:rsidP="00300E8E">
      <w:r w:rsidRPr="00300E8E">
        <w:t>Estimated costs range from $150,000 to $300,000 for the first year and $50,000 to $100,000 annually thereafter. The anticipated return on investment is substantial, with 300–500% ROI expected from preventing security incidents and compliance violations.</w:t>
      </w:r>
    </w:p>
    <w:p w14:paraId="78710740" w14:textId="77777777" w:rsidR="00300E8E" w:rsidRDefault="00300E8E" w:rsidP="00300E8E">
      <w:pPr>
        <w:pStyle w:val="Heading2"/>
      </w:pPr>
      <w:r>
        <w:t>Success Metrics</w:t>
      </w:r>
    </w:p>
    <w:p w14:paraId="751CC9B4" w14:textId="77777777" w:rsidR="00300E8E" w:rsidRDefault="00300E8E" w:rsidP="00300E8E">
      <w:pPr>
        <w:pStyle w:val="ListParagraph"/>
        <w:numPr>
          <w:ilvl w:val="0"/>
          <w:numId w:val="3"/>
        </w:numPr>
      </w:pPr>
      <w:r w:rsidRPr="00300E8E">
        <w:t>Endpoint coverage greater than 90%</w:t>
      </w:r>
    </w:p>
    <w:p w14:paraId="27FFD888" w14:textId="77777777" w:rsidR="00300E8E" w:rsidRDefault="00300E8E" w:rsidP="00300E8E">
      <w:pPr>
        <w:pStyle w:val="ListParagraph"/>
        <w:numPr>
          <w:ilvl w:val="0"/>
          <w:numId w:val="3"/>
        </w:numPr>
      </w:pPr>
      <w:r w:rsidRPr="00300E8E">
        <w:t>False positive rate less than 10%</w:t>
      </w:r>
    </w:p>
    <w:p w14:paraId="40F227D7" w14:textId="77777777" w:rsidR="00300E8E" w:rsidRDefault="00300E8E" w:rsidP="00300E8E">
      <w:pPr>
        <w:pStyle w:val="ListParagraph"/>
        <w:numPr>
          <w:ilvl w:val="0"/>
          <w:numId w:val="3"/>
        </w:numPr>
      </w:pPr>
      <w:r w:rsidRPr="00300E8E">
        <w:t>Execution time under 30 minutes</w:t>
      </w:r>
    </w:p>
    <w:p w14:paraId="7B9D25C1" w14:textId="4824A59C" w:rsidR="00BA08A5" w:rsidRPr="00300E8E" w:rsidRDefault="00300E8E" w:rsidP="00300E8E">
      <w:pPr>
        <w:pStyle w:val="ListParagraph"/>
        <w:numPr>
          <w:ilvl w:val="0"/>
          <w:numId w:val="3"/>
        </w:numPr>
      </w:pPr>
      <w:r w:rsidRPr="00300E8E">
        <w:t>Zero security incidents</w:t>
      </w:r>
    </w:p>
    <w:sectPr w:rsidR="00BA08A5" w:rsidRPr="00300E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7655C"/>
    <w:multiLevelType w:val="hybridMultilevel"/>
    <w:tmpl w:val="738C6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4F7E14"/>
    <w:multiLevelType w:val="hybridMultilevel"/>
    <w:tmpl w:val="13E6B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EE175B"/>
    <w:multiLevelType w:val="multilevel"/>
    <w:tmpl w:val="7D9C4C2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318077131">
    <w:abstractNumId w:val="0"/>
  </w:num>
  <w:num w:numId="2" w16cid:durableId="1871339596">
    <w:abstractNumId w:val="2"/>
  </w:num>
  <w:num w:numId="3" w16cid:durableId="1641381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8A5"/>
    <w:rsid w:val="00262B40"/>
    <w:rsid w:val="00300E8E"/>
    <w:rsid w:val="00BA0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6C98A"/>
  <w15:chartTrackingRefBased/>
  <w15:docId w15:val="{053E9B5A-AB44-426E-84F4-EDAF4A1F9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8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08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8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8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8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8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8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8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8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8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08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8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8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8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8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8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8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8A5"/>
    <w:rPr>
      <w:rFonts w:eastAsiaTheme="majorEastAsia" w:cstheme="majorBidi"/>
      <w:color w:val="272727" w:themeColor="text1" w:themeTint="D8"/>
    </w:rPr>
  </w:style>
  <w:style w:type="paragraph" w:styleId="Title">
    <w:name w:val="Title"/>
    <w:basedOn w:val="Normal"/>
    <w:next w:val="Normal"/>
    <w:link w:val="TitleChar"/>
    <w:uiPriority w:val="10"/>
    <w:qFormat/>
    <w:rsid w:val="00BA0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8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8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8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8A5"/>
    <w:pPr>
      <w:spacing w:before="160"/>
      <w:jc w:val="center"/>
    </w:pPr>
    <w:rPr>
      <w:i/>
      <w:iCs/>
      <w:color w:val="404040" w:themeColor="text1" w:themeTint="BF"/>
    </w:rPr>
  </w:style>
  <w:style w:type="character" w:customStyle="1" w:styleId="QuoteChar">
    <w:name w:val="Quote Char"/>
    <w:basedOn w:val="DefaultParagraphFont"/>
    <w:link w:val="Quote"/>
    <w:uiPriority w:val="29"/>
    <w:rsid w:val="00BA08A5"/>
    <w:rPr>
      <w:i/>
      <w:iCs/>
      <w:color w:val="404040" w:themeColor="text1" w:themeTint="BF"/>
    </w:rPr>
  </w:style>
  <w:style w:type="paragraph" w:styleId="ListParagraph">
    <w:name w:val="List Paragraph"/>
    <w:basedOn w:val="Normal"/>
    <w:uiPriority w:val="34"/>
    <w:qFormat/>
    <w:rsid w:val="00BA08A5"/>
    <w:pPr>
      <w:ind w:left="720"/>
      <w:contextualSpacing/>
    </w:pPr>
  </w:style>
  <w:style w:type="character" w:styleId="IntenseEmphasis">
    <w:name w:val="Intense Emphasis"/>
    <w:basedOn w:val="DefaultParagraphFont"/>
    <w:uiPriority w:val="21"/>
    <w:qFormat/>
    <w:rsid w:val="00BA08A5"/>
    <w:rPr>
      <w:i/>
      <w:iCs/>
      <w:color w:val="0F4761" w:themeColor="accent1" w:themeShade="BF"/>
    </w:rPr>
  </w:style>
  <w:style w:type="paragraph" w:styleId="IntenseQuote">
    <w:name w:val="Intense Quote"/>
    <w:basedOn w:val="Normal"/>
    <w:next w:val="Normal"/>
    <w:link w:val="IntenseQuoteChar"/>
    <w:uiPriority w:val="30"/>
    <w:qFormat/>
    <w:rsid w:val="00BA08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8A5"/>
    <w:rPr>
      <w:i/>
      <w:iCs/>
      <w:color w:val="0F4761" w:themeColor="accent1" w:themeShade="BF"/>
    </w:rPr>
  </w:style>
  <w:style w:type="character" w:styleId="IntenseReference">
    <w:name w:val="Intense Reference"/>
    <w:basedOn w:val="DefaultParagraphFont"/>
    <w:uiPriority w:val="32"/>
    <w:qFormat/>
    <w:rsid w:val="00BA08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426</Words>
  <Characters>2821</Characters>
  <Application>Microsoft Office Word</Application>
  <DocSecurity>0</DocSecurity>
  <Lines>40</Lines>
  <Paragraphs>3</Paragraphs>
  <ScaleCrop>false</ScaleCrop>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Heidner</dc:creator>
  <cp:keywords/>
  <dc:description/>
  <cp:lastModifiedBy>Jesse Heidner</cp:lastModifiedBy>
  <cp:revision>2</cp:revision>
  <dcterms:created xsi:type="dcterms:W3CDTF">2025-11-07T19:39:00Z</dcterms:created>
  <dcterms:modified xsi:type="dcterms:W3CDTF">2025-11-07T19:46:00Z</dcterms:modified>
</cp:coreProperties>
</file>