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HW3 Mortgage Agent — Sample Prompt Outputs</w:t>
      </w:r>
    </w:p>
    <w:p>
      <w:r>
        <w:t>Berryessa $1.28M scenario · Generated 2026-06-24 03:05 UTC</w:t>
      </w:r>
    </w:p>
    <w:p>
      <w:r>
        <w:t>Educational outputs from Doubleword/LiteLLM via Google ADK. Not financial advice.</w:t>
      </w:r>
    </w:p>
    <w:p>
      <w:pPr>
        <w:pStyle w:val="Heading1"/>
      </w:pPr>
      <w:r>
        <w:t>1. mortgage_supervisor — full pipeline</w:t>
      </w:r>
    </w:p>
    <w:p>
      <w:r>
        <w:rPr>
          <w:b/>
        </w:rPr>
        <w:t xml:space="preserve">Agent: </w:t>
      </w:r>
      <w:r>
        <w:t>mortgage_supervisor_full</w:t>
      </w:r>
    </w:p>
    <w:p>
      <w:pPr>
        <w:pStyle w:val="Heading2"/>
      </w:pPr>
      <w:r>
        <w:t>Prompt</w:t>
      </w:r>
    </w:p>
    <w:p>
      <w:pPr>
        <w:pStyle w:val="IntenseQuote"/>
      </w:pPr>
      <w:r>
        <w:t>I'm looking at a home in Berryessa, San Jose for $1,280,000.</w:t>
      </w:r>
    </w:p>
    <w:p>
      <w:pPr>
        <w:pStyle w:val="IntenseQuote"/>
      </w:pPr>
      <w:r>
        <w:t>20% down, 30-year fixed at 6%.</w:t>
      </w:r>
    </w:p>
    <w:p>
      <w:pPr>
        <w:pStyle w:val="IntenseQuote"/>
      </w:pPr>
      <w:r>
        <w:t>Monthly costs: property tax $1,300, home insurance $150, HOA $25, utilities $300.</w:t>
      </w:r>
    </w:p>
    <w:p>
      <w:pPr>
        <w:pStyle w:val="IntenseQuote"/>
      </w:pPr>
      <w:r>
        <w:t>Household income $190,000/year, credit score 770, no other monthly debts.</w:t>
      </w:r>
    </w:p>
    <w:p>
      <w:pPr>
        <w:pStyle w:val="IntenseQuote"/>
      </w:pPr>
      <w:r>
        <w:t>Calculate total monthly payment, LTV, PMI, cash to close, and DTI.</w:t>
      </w:r>
    </w:p>
    <w:p>
      <w:pPr>
        <w:pStyle w:val="IntenseQuote"/>
      </w:pPr>
      <w:r>
        <w:t>Explain tradeoffs — educational only, no loan recommendation.</w:t>
      </w:r>
    </w:p>
    <w:p>
      <w:pPr>
        <w:pStyle w:val="Heading2"/>
      </w:pPr>
      <w:r>
        <w:t>Output</w:t>
      </w:r>
    </w:p>
    <w:p>
      <w:pPr>
        <w:spacing w:after="40"/>
      </w:pPr>
      <w:r>
        <w:t>**Synthesized Mortgage Scenario — Educational Summary**</w:t>
      </w:r>
    </w:p>
    <w:p>
      <w:pPr>
        <w:spacing w:after="40"/>
      </w:pPr>
    </w:p>
    <w:p>
      <w:pPr>
        <w:spacing w:after="40"/>
      </w:pPr>
      <w:r>
        <w:t>---</w:t>
      </w:r>
    </w:p>
    <w:p>
      <w:pPr>
        <w:spacing w:after="40"/>
      </w:pPr>
    </w:p>
    <w:p>
      <w:pPr>
        <w:spacing w:after="40"/>
      </w:pPr>
      <w:r>
        <w:t>### 1. Key Inputs (Consistent Across All Analyses)</w:t>
      </w:r>
    </w:p>
    <w:p>
      <w:pPr>
        <w:spacing w:after="40"/>
      </w:pPr>
      <w:r>
        <w:t>| Item | Value |</w:t>
      </w:r>
    </w:p>
    <w:p>
      <w:pPr>
        <w:spacing w:after="40"/>
      </w:pPr>
      <w:r>
        <w:t>|------|-------|</w:t>
      </w:r>
    </w:p>
    <w:p>
      <w:pPr>
        <w:spacing w:after="40"/>
      </w:pPr>
      <w:r>
        <w:t>| Purchase price | $1,280,000 |</w:t>
      </w:r>
    </w:p>
    <w:p>
      <w:pPr>
        <w:spacing w:after="40"/>
      </w:pPr>
      <w:r>
        <w:t>| Down payment (20%) | $256,000 |</w:t>
      </w:r>
    </w:p>
    <w:p>
      <w:pPr>
        <w:spacing w:after="40"/>
      </w:pPr>
      <w:r>
        <w:t>| Loan amount | $1,024,000 |</w:t>
      </w:r>
    </w:p>
    <w:p>
      <w:pPr>
        <w:spacing w:after="40"/>
      </w:pPr>
      <w:r>
        <w:t>| Loan type | 30‑year fixed, 6.00% (user‑supplied) |</w:t>
      </w:r>
    </w:p>
    <w:p>
      <w:pPr>
        <w:spacing w:after="40"/>
      </w:pPr>
      <w:r>
        <w:t>| Property tax (monthly) | $1,300 |</w:t>
      </w:r>
    </w:p>
    <w:p>
      <w:pPr>
        <w:spacing w:after="40"/>
      </w:pPr>
      <w:r>
        <w:t>| Home insurance (monthly) | $150 |</w:t>
      </w:r>
    </w:p>
    <w:p>
      <w:pPr>
        <w:spacing w:after="40"/>
      </w:pPr>
      <w:r>
        <w:t>| HOA (monthly) | $25 |</w:t>
      </w:r>
    </w:p>
    <w:p>
      <w:pPr>
        <w:spacing w:after="40"/>
      </w:pPr>
      <w:r>
        <w:t>| Utilities (monthly estimate) | $300 |</w:t>
      </w:r>
    </w:p>
    <w:p>
      <w:pPr>
        <w:spacing w:after="40"/>
      </w:pPr>
      <w:r>
        <w:t>| Gross annual income | $190,000 |</w:t>
      </w:r>
    </w:p>
    <w:p>
      <w:pPr>
        <w:spacing w:after="40"/>
      </w:pPr>
      <w:r>
        <w:t>| Gross monthly income | $15,833.33 |</w:t>
      </w:r>
    </w:p>
    <w:p>
      <w:pPr>
        <w:spacing w:after="40"/>
      </w:pPr>
      <w:r>
        <w:t>| Credit score | 770 (Tier “760+”, 0 bps rate adjustment) |</w:t>
      </w:r>
    </w:p>
    <w:p>
      <w:pPr>
        <w:spacing w:after="40"/>
      </w:pPr>
      <w:r>
        <w:t>| Other monthly debts | $0 |</w:t>
      </w:r>
    </w:p>
    <w:p>
      <w:pPr>
        <w:spacing w:after="40"/>
      </w:pPr>
    </w:p>
    <w:p>
      <w:pPr>
        <w:spacing w:after="40"/>
      </w:pPr>
      <w:r>
        <w:t>*Note: FRED benchmark rate unavailable — analyses use the 6.00% rate provided.*</w:t>
      </w:r>
    </w:p>
    <w:p>
      <w:pPr>
        <w:spacing w:after="40"/>
      </w:pPr>
    </w:p>
    <w:p>
      <w:pPr>
        <w:spacing w:after="40"/>
      </w:pPr>
      <w:r>
        <w:t>---</w:t>
      </w:r>
    </w:p>
    <w:p>
      <w:pPr>
        <w:spacing w:after="40"/>
      </w:pPr>
    </w:p>
    <w:p>
      <w:pPr>
        <w:spacing w:after="40"/>
      </w:pPr>
      <w:r>
        <w:t>### 2. Side‑by‑Side Comparison of Specialist Outputs</w:t>
      </w:r>
    </w:p>
    <w:p>
      <w:pPr>
        <w:spacing w:after="40"/>
      </w:pPr>
    </w:p>
    <w:p>
      <w:pPr>
        <w:spacing w:after="40"/>
      </w:pPr>
      <w:r>
        <w:t>| Metric | Payment Calculator | Affordability Analyzer | Rate Finder |</w:t>
      </w:r>
    </w:p>
    <w:p>
      <w:pPr>
        <w:spacing w:after="40"/>
      </w:pPr>
      <w:r>
        <w:t>|--------|-------------------|------------------------|-------------|</w:t>
      </w:r>
    </w:p>
    <w:p>
      <w:pPr>
        <w:spacing w:after="40"/>
      </w:pPr>
      <w:r>
        <w:t>| **Monthly P&amp;I** | $6,139.40 | $6,138.88 | $6,140.54 |</w:t>
      </w:r>
    </w:p>
    <w:p>
      <w:pPr>
        <w:spacing w:after="40"/>
      </w:pPr>
      <w:r>
        <w:t>| **Monthly housing payment (PITI + HOA)** | $7,614.40* | $7,613.88* | $7,615.54 |</w:t>
      </w:r>
    </w:p>
    <w:p>
      <w:pPr>
        <w:spacing w:after="40"/>
      </w:pPr>
      <w:r>
        <w:t>| **Utilities included in total?** | Yes (+$300 = $7,914.40) | Yes (+$300 = $7,913.88) | No (shown separately) |</w:t>
      </w:r>
    </w:p>
    <w:p>
      <w:pPr>
        <w:spacing w:after="40"/>
      </w:pPr>
      <w:r>
        <w:t>| **Total monthly outlay (with utilities)** | **$7,914.40** | **$7,913.88** | **$7,915.54** |</w:t>
      </w:r>
    </w:p>
    <w:p>
      <w:pPr>
        <w:spacing w:after="40"/>
      </w:pPr>
      <w:r>
        <w:t>| **LTV** | 80.0% | 80% | 80% |</w:t>
      </w:r>
    </w:p>
    <w:p>
      <w:pPr>
        <w:spacing w:after="40"/>
      </w:pPr>
      <w:r>
        <w:t>| **PMI required** | No | No | No (conforming); verify for jumbo |</w:t>
      </w:r>
    </w:p>
    <w:p>
      <w:pPr>
        <w:spacing w:after="40"/>
      </w:pPr>
      <w:r>
        <w:t>| **Cash to close (estimate)** | $294,400 (3% of purchase price) | ~$291,000 (3% of loan + prepaids) | ~$286,720 (3% of loan) |</w:t>
      </w:r>
    </w:p>
    <w:p>
      <w:pPr>
        <w:spacing w:after="40"/>
      </w:pPr>
      <w:r>
        <w:t>| **Front‑end DTI (housing only)** | ~48.1% (excl. utilities) / 50.0% (incl. utilities) | 49.98% (incl. utilities) | 48.1% (excl. utilities) |</w:t>
      </w:r>
    </w:p>
    <w:p>
      <w:pPr>
        <w:spacing w:after="40"/>
      </w:pPr>
      <w:r>
        <w:t>| **Back‑end DTI** | Same as front‑end (no other debts) | 49.98% | 48.1% |</w:t>
      </w:r>
    </w:p>
    <w:p>
      <w:pPr>
        <w:spacing w:after="40"/>
      </w:pPr>
    </w:p>
    <w:p>
      <w:pPr>
        <w:spacing w:after="40"/>
      </w:pPr>
      <w:r>
        <w:t xml:space="preserve">*PITI + HOA = Principal &amp; Interest + Property Tax + Insurance + HOA.  </w:t>
      </w:r>
    </w:p>
    <w:p>
      <w:pPr>
        <w:spacing w:after="40"/>
      </w:pPr>
      <w:r>
        <w:t>Utilities are a household expense but **not** counted in mortgage‑qualification DTI.*</w:t>
      </w:r>
    </w:p>
    <w:p>
      <w:pPr>
        <w:spacing w:after="40"/>
      </w:pPr>
    </w:p>
    <w:p>
      <w:pPr>
        <w:spacing w:after="40"/>
      </w:pPr>
      <w:r>
        <w:t>---</w:t>
      </w:r>
    </w:p>
    <w:p>
      <w:pPr>
        <w:spacing w:after="40"/>
      </w:pPr>
    </w:p>
    <w:p>
      <w:pPr>
        <w:spacing w:after="40"/>
      </w:pPr>
      <w:r>
        <w:t>### 3. Reconciled Figures &amp; Explanation of Differences</w:t>
      </w:r>
    </w:p>
    <w:p>
      <w:pPr>
        <w:spacing w:after="40"/>
      </w:pPr>
    </w:p>
    <w:p>
      <w:pPr>
        <w:spacing w:after="40"/>
      </w:pPr>
      <w:r>
        <w:t>| Item | Reconciled Estimate | Why Estimates Differ |</w:t>
      </w:r>
    </w:p>
    <w:p>
      <w:pPr>
        <w:spacing w:after="40"/>
      </w:pPr>
      <w:r>
        <w:t>|------|---------------------|----------------------|</w:t>
      </w:r>
    </w:p>
    <w:p>
      <w:pPr>
        <w:spacing w:after="40"/>
      </w:pPr>
      <w:r>
        <w:t>| **Monthly P&amp;I** | **$6,139 – $6,141** | Rounding in amortization formula (all within $2). |</w:t>
      </w:r>
    </w:p>
    <w:p>
      <w:pPr>
        <w:spacing w:after="40"/>
      </w:pPr>
      <w:r>
        <w:t>| **Total monthly housing payment (PITI + HOA)** | **$7,614 – $7,616** | Same components; minor rounding. |</w:t>
      </w:r>
    </w:p>
    <w:p>
      <w:pPr>
        <w:spacing w:after="40"/>
      </w:pPr>
      <w:r>
        <w:t>| **Total monthly outlay including utilities** | **$7,914 – $7,916** | All three add $300 utilities; difference is P&amp;I rounding. |</w:t>
      </w:r>
    </w:p>
    <w:p>
      <w:pPr>
        <w:spacing w:after="40"/>
      </w:pPr>
      <w:r>
        <w:t>| **Cash to close** | **$287k – $294k** | • Payment calc: 3% of **purchase price** ($38,400).&lt;br&gt;• Affordability: 3% of **loan amount** ($30,720) + ~$4,350 prepaids.&lt;br&gt;• Rate finder: 3% of **loan amount** only ($30,720).&lt;br&gt;Actual costs depend on lender fees, title, escrow, reserves, and prepaid items. |</w:t>
      </w:r>
    </w:p>
    <w:p>
      <w:pPr>
        <w:spacing w:after="40"/>
      </w:pPr>
      <w:r>
        <w:t>| **DTI (mortgage qualification)** | **48.1% – 50.0%** | • Rate finder &amp; payment calc (excl. utilities): **48.1%** — aligns with standard DTI definition.&lt;br&gt;• Affordability &amp; payment calc (incl. utilities): **~50%** — reflects total cash outflow but **not** used for loan approval. |</w:t>
      </w:r>
    </w:p>
    <w:p>
      <w:pPr>
        <w:spacing w:after="40"/>
      </w:pPr>
      <w:r>
        <w:t>| **Jumbo loan flag** | Loan exceeds 2024 conforming limit ($766,550 in most CA counties) | All analyses note this; jumbo guidelines may allow higher DTI with compensating factors (credit score 770, reserves). |</w:t>
      </w:r>
    </w:p>
    <w:p>
      <w:pPr>
        <w:spacing w:after="40"/>
      </w:pPr>
    </w:p>
    <w:p>
      <w:pPr>
        <w:spacing w:after="40"/>
      </w:pPr>
      <w:r>
        <w:t>---</w:t>
      </w:r>
    </w:p>
    <w:p>
      <w:pPr>
        <w:spacing w:after="40"/>
      </w:pPr>
    </w:p>
    <w:p>
      <w:pPr>
        <w:spacing w:after="40"/>
      </w:pPr>
      <w:r>
        <w:t>### 4. Trade‑off Primer (Educational Only)</w:t>
      </w:r>
    </w:p>
    <w:p>
      <w:pPr>
        <w:spacing w:after="40"/>
      </w:pPr>
    </w:p>
    <w:p>
      <w:pPr>
        <w:spacing w:after="40"/>
      </w:pPr>
      <w:r>
        <w:t>| Dimension | 30‑Year Fixed (Current Scenario) | 15‑Year Fixed | 5/1 or 7/1 ARM |</w:t>
      </w:r>
    </w:p>
    <w:p>
      <w:pPr>
        <w:spacing w:after="40"/>
      </w:pPr>
      <w:r>
        <w:t>|-----------|----------------------------------|---------------|----------------|</w:t>
      </w:r>
    </w:p>
    <w:p>
      <w:pPr>
        <w:spacing w:after="40"/>
      </w:pPr>
      <w:r>
        <w:t>| **Rate stability** | Locked 30 years | Locked 15 years | Fixed initial period, then adjusts |</w:t>
      </w:r>
    </w:p>
    <w:p>
      <w:pPr>
        <w:spacing w:after="40"/>
      </w:pPr>
      <w:r>
        <w:t>| **Monthly P&amp;I** | ~$6,140 | ~$8,650–$8,900 | Lowest initially (~$5,500–$5,800 at same start rate) |</w:t>
      </w:r>
    </w:p>
    <w:p>
      <w:pPr>
        <w:spacing w:after="40"/>
      </w:pPr>
      <w:r>
        <w:t>| **Total interest (30 yr)** | ~$1.19M | ~$0.53M | Uncertain — depends on future rate path |</w:t>
      </w:r>
    </w:p>
    <w:p>
      <w:pPr>
        <w:spacing w:after="40"/>
      </w:pPr>
      <w:r>
        <w:t>| **Equity build‑up** | Slowest | Fastest | Slow during fixed period |</w:t>
      </w:r>
    </w:p>
    <w:p>
      <w:pPr>
        <w:spacing w:after="40"/>
      </w:pPr>
      <w:r>
        <w:t>| **Typical use case** | Long‑term hold, cash‑flow priority | Shorter ownership, aggressive payoff | Short‑term ownership / rate‑decline bets |</w:t>
      </w:r>
    </w:p>
    <w:p>
      <w:pPr>
        <w:spacing w:after="40"/>
      </w:pPr>
      <w:r>
        <w:t>| **Risk** | Rate locked, but higher lifetime cost | Payment ~45% higher; less flexibility | Payment shock if rates rise after fixed period |</w:t>
      </w:r>
    </w:p>
    <w:p>
      <w:pPr>
        <w:spacing w:after="40"/>
      </w:pPr>
    </w:p>
    <w:p>
      <w:pPr>
        <w:spacing w:after="40"/>
      </w:pPr>
      <w:r>
        <w:t>**Fixed vs. ARM:** ARMs transfer rate risk to borrower after the fixed period. Caps limit annual/lifetime increases, but payment shock can occur if rates rise sharply.</w:t>
      </w:r>
    </w:p>
    <w:p>
      <w:pPr>
        <w:spacing w:after="40"/>
      </w:pPr>
    </w:p>
    <w:p>
      <w:pPr>
        <w:spacing w:after="40"/>
      </w:pPr>
      <w:r>
        <w:t>**15‑yr vs. 30‑yr:** 15‑yr cuts total interest roughly in half but demands a much higher monthly payment. The 30‑yr offers flexibility; extra principal payments can be made voluntarily.</w:t>
      </w:r>
    </w:p>
    <w:p>
      <w:pPr>
        <w:spacing w:after="40"/>
      </w:pPr>
    </w:p>
    <w:p>
      <w:pPr>
        <w:spacing w:after="40"/>
      </w:pPr>
      <w:r>
        <w:t>---</w:t>
      </w:r>
    </w:p>
    <w:p>
      <w:pPr>
        <w:spacing w:after="40"/>
      </w:pPr>
    </w:p>
    <w:p>
      <w:pPr>
        <w:spacing w:after="40"/>
      </w:pPr>
      <w:r>
        <w:t>### 5. Key Observations (No Recommendations)</w:t>
      </w:r>
    </w:p>
    <w:p>
      <w:pPr>
        <w:spacing w:after="40"/>
      </w:pPr>
    </w:p>
    <w:p>
      <w:pPr>
        <w:spacing w:after="40"/>
      </w:pPr>
      <w:r>
        <w:t xml:space="preserve">- **LTV at 80%** → No PMI on conforming loans; jumbo loans may have different requirements.  </w:t>
      </w:r>
    </w:p>
    <w:p>
      <w:pPr>
        <w:spacing w:after="40"/>
      </w:pPr>
      <w:r>
        <w:t xml:space="preserve">- **DTI ~48–50%** → Above conventional front‑end (28%) and back‑end (36%) benchmarks. Jumbo lenders may approve with strong compensating factors (770 credit, reserves, residual income).  </w:t>
      </w:r>
    </w:p>
    <w:p>
      <w:pPr>
        <w:spacing w:after="40"/>
      </w:pPr>
      <w:r>
        <w:t xml:space="preserve">- **Cash to close $287k–$294k** → Significant liquidity required; verify reserves for 6–12 months of PITI plus emergency fund.  </w:t>
      </w:r>
    </w:p>
    <w:p>
      <w:pPr>
        <w:spacing w:after="40"/>
      </w:pPr>
      <w:r>
        <w:t xml:space="preserve">- **Property tax &amp; insurance** → California Prop 13 limits tax growth to ~2%/year; insurance in wildfire‑prone areas can increase unpredictably.  </w:t>
      </w:r>
    </w:p>
    <w:p>
      <w:pPr>
        <w:spacing w:after="40"/>
      </w:pPr>
      <w:r>
        <w:t xml:space="preserve">- **Opportunity cost** → $256k down payment + closing costs tied up in illiquid asset; alternative investments may yield different returns.  </w:t>
      </w:r>
    </w:p>
    <w:p>
      <w:pPr>
        <w:spacing w:after="40"/>
      </w:pPr>
      <w:r>
        <w:t>- **Rate environment** → 6% fixed for 30 years provides certainty; if rates fall, refinancing involves costs and re‑qualification.</w:t>
      </w:r>
    </w:p>
    <w:p>
      <w:pPr>
        <w:spacing w:after="40"/>
      </w:pPr>
    </w:p>
    <w:p>
      <w:pPr>
        <w:spacing w:after="40"/>
      </w:pPr>
      <w:r>
        <w:t>---</w:t>
      </w:r>
    </w:p>
    <w:p>
      <w:pPr>
        <w:spacing w:after="40"/>
      </w:pPr>
    </w:p>
    <w:p>
      <w:pPr>
        <w:spacing w:after="40"/>
      </w:pPr>
      <w:r>
        <w:t>### 6. Next Steps for Further Exploration</w:t>
      </w:r>
    </w:p>
    <w:p>
      <w:pPr>
        <w:spacing w:after="40"/>
      </w:pPr>
      <w:r>
        <w:t xml:space="preserve">1. Obtain **Loan Estimates** from 2–3 lenders (compare APR, fees, rate‑lock terms, jumbo guidelines).  </w:t>
      </w:r>
    </w:p>
    <w:p>
      <w:pPr>
        <w:spacing w:after="40"/>
      </w:pPr>
      <w:r>
        <w:t xml:space="preserve">2. Confirm **reserve requirements** — many jumbo lenders want 6–12 months of PITI in liquid assets.  </w:t>
      </w:r>
    </w:p>
    <w:p>
      <w:pPr>
        <w:spacing w:after="40"/>
      </w:pPr>
      <w:r>
        <w:t xml:space="preserve">3. Review **HOA documents** for pending special assessments or litigation.  </w:t>
      </w:r>
    </w:p>
    <w:p>
      <w:pPr>
        <w:spacing w:after="40"/>
      </w:pPr>
      <w:r>
        <w:t xml:space="preserve">4. Consider a **fee‑only financial planner** to stress‑test the full financial picture (taxes, retirement, emergency fund).  </w:t>
      </w:r>
    </w:p>
    <w:p>
      <w:pPr>
        <w:spacing w:after="40"/>
      </w:pPr>
    </w:p>
    <w:p>
      <w:pPr>
        <w:spacing w:after="40"/>
      </w:pPr>
      <w:r>
        <w:t>---</w:t>
      </w:r>
    </w:p>
    <w:p>
      <w:pPr>
        <w:spacing w:after="40"/>
      </w:pPr>
    </w:p>
    <w:p>
      <w:pPr>
        <w:spacing w:after="40"/>
      </w:pPr>
      <w:r>
        <w:t>*This synthesis is for educational purposes only. It does not constitute a loan offer, underwriting decision, credit analysis, or financial advice. All figures are illustrative estimates based on user‑supplied inputs and standard calculation methods. Actual terms, costs, and eligibility vary by lender, program, and market conditions. Consult licensed mortgage and financial professionals for personalized guidance.*</w:t>
      </w:r>
    </w:p>
    <w:p>
      <w:r>
        <w:br w:type="page"/>
      </w:r>
    </w:p>
    <w:p>
      <w:pPr>
        <w:pStyle w:val="Heading1"/>
      </w:pPr>
      <w:r>
        <w:t>2. mortgage_supervisor — compare down payments</w:t>
      </w:r>
    </w:p>
    <w:p>
      <w:r>
        <w:rPr>
          <w:b/>
        </w:rPr>
        <w:t xml:space="preserve">Agent: </w:t>
      </w:r>
      <w:r>
        <w:t>mortgage_supervisor_compare</w:t>
      </w:r>
    </w:p>
    <w:p>
      <w:pPr>
        <w:pStyle w:val="Heading2"/>
      </w:pPr>
      <w:r>
        <w:t>Prompt</w:t>
      </w:r>
    </w:p>
    <w:p>
      <w:pPr>
        <w:pStyle w:val="IntenseQuote"/>
      </w:pPr>
      <w:r>
        <w:t>Compare 20% down vs 10% down on a $1,280,000 Berryessa home at 6% (30-year fixed).</w:t>
      </w:r>
    </w:p>
    <w:p>
      <w:pPr>
        <w:pStyle w:val="IntenseQuote"/>
      </w:pPr>
      <w:r>
        <w:t>Same costs: tax $1,300, insurance $150, HOA $25, utilities $300.</w:t>
      </w:r>
    </w:p>
    <w:p>
      <w:pPr>
        <w:pStyle w:val="IntenseQuote"/>
      </w:pPr>
      <w:r>
        <w:t>Income $190,000, credit 770. Show monthly payment, PMI, cash to close, and DTI side by side.</w:t>
      </w:r>
    </w:p>
    <w:p>
      <w:pPr>
        <w:pStyle w:val="IntenseQuote"/>
      </w:pPr>
      <w:r>
        <w:t>Educational only — no recommendation.</w:t>
      </w:r>
    </w:p>
    <w:p>
      <w:pPr>
        <w:pStyle w:val="Heading2"/>
      </w:pPr>
      <w:r>
        <w:t>Output</w:t>
      </w:r>
    </w:p>
    <w:p>
      <w:pPr>
        <w:spacing w:after="40"/>
      </w:pPr>
      <w:r>
        <w:t xml:space="preserve">**Educational Comparison: 20% Down vs. 10% Down on a $1,280,000 Home**  </w:t>
      </w:r>
    </w:p>
    <w:p>
      <w:pPr>
        <w:spacing w:after="40"/>
      </w:pPr>
      <w:r>
        <w:t>*Assumptions: 30‑yr fixed at 6.0%, credit 770 (tier 760+, 0 bps adjustment), income $190,000/yr ($15,833/mo gross). Property tax $1,300/mo, insurance $150/mo, HOA $25/mo, utilities $300/mo (shown for budgeting; not part of DTI). Closing costs estimated at 3% of purchase price ($38,400). PMI estimate for 90% LTV: 0.5%/yr of loan balance ($480/mo). All figures are illustrative only.*</w:t>
      </w:r>
    </w:p>
    <w:p>
      <w:pPr>
        <w:spacing w:after="40"/>
      </w:pPr>
    </w:p>
    <w:p>
      <w:pPr>
        <w:spacing w:after="40"/>
      </w:pPr>
      <w:r>
        <w:t>| **Metric** | **20% Down ($256,000)** | **10% Down ($128,000)** |</w:t>
      </w:r>
    </w:p>
    <w:p>
      <w:pPr>
        <w:spacing w:after="40"/>
      </w:pPr>
      <w:r>
        <w:t>|------------|-------------------------|-------------------------|</w:t>
      </w:r>
    </w:p>
    <w:p>
      <w:pPr>
        <w:spacing w:after="40"/>
      </w:pPr>
      <w:r>
        <w:t>| **Loan Amount** | $1,024,000 | $1,152,000 |</w:t>
      </w:r>
    </w:p>
    <w:p>
      <w:pPr>
        <w:spacing w:after="40"/>
      </w:pPr>
      <w:r>
        <w:t>| **LTV** | 80% | 90% |</w:t>
      </w:r>
    </w:p>
    <w:p>
      <w:pPr>
        <w:spacing w:after="40"/>
      </w:pPr>
      <w:r>
        <w:t>| **PMI Required** | No | Yes |</w:t>
      </w:r>
    </w:p>
    <w:p>
      <w:pPr>
        <w:spacing w:after="40"/>
      </w:pPr>
      <w:r>
        <w:t>| **Principal &amp; Interest (6%, 30 yr)** | $6,139.40 | $6,906.82 |</w:t>
      </w:r>
    </w:p>
    <w:p>
      <w:pPr>
        <w:spacing w:after="40"/>
      </w:pPr>
      <w:r>
        <w:t>| **Monthly PMI** | $0 | $480.00 |</w:t>
      </w:r>
    </w:p>
    <w:p>
      <w:pPr>
        <w:spacing w:after="40"/>
      </w:pPr>
      <w:r>
        <w:t>| **Property Tax** | $1,300.00 | $1,300.00 |</w:t>
      </w:r>
    </w:p>
    <w:p>
      <w:pPr>
        <w:spacing w:after="40"/>
      </w:pPr>
      <w:r>
        <w:t>| **Home Insurance** | $150.00 | $150.00 |</w:t>
      </w:r>
    </w:p>
    <w:p>
      <w:pPr>
        <w:spacing w:after="40"/>
      </w:pPr>
      <w:r>
        <w:t>| **HOA** | $25.00 | $25.00 |</w:t>
      </w:r>
    </w:p>
    <w:p>
      <w:pPr>
        <w:spacing w:after="40"/>
      </w:pPr>
      <w:r>
        <w:t>| **Total Monthly Housing (PITI + HOA + PMI)** | **$7,614.40** | **$8,861.82** |</w:t>
      </w:r>
    </w:p>
    <w:p>
      <w:pPr>
        <w:spacing w:after="40"/>
      </w:pPr>
      <w:r>
        <w:t>| **Utilities (not in DTI)** | $300.00 | $300.00 |</w:t>
      </w:r>
    </w:p>
    <w:p>
      <w:pPr>
        <w:spacing w:after="40"/>
      </w:pPr>
      <w:r>
        <w:t>| **Total Monthly Outlay (incl. utilities)** | $7,914.40 | $9,161.82 |</w:t>
      </w:r>
    </w:p>
    <w:p>
      <w:pPr>
        <w:spacing w:after="40"/>
      </w:pPr>
      <w:r>
        <w:t>| **Gross Monthly Income** | $15,833.33 | $15,833.33 |</w:t>
      </w:r>
    </w:p>
    <w:p>
      <w:pPr>
        <w:spacing w:after="40"/>
      </w:pPr>
      <w:r>
        <w:t>| **Front‑End DTI (Housing ÷ Income)** | **48.1%** | **56.0%** |</w:t>
      </w:r>
    </w:p>
    <w:p>
      <w:pPr>
        <w:spacing w:after="40"/>
      </w:pPr>
      <w:r>
        <w:t>| **Back‑End DTI (no other debts)** | 48.1% | 56.0% |</w:t>
      </w:r>
    </w:p>
    <w:p>
      <w:pPr>
        <w:spacing w:after="40"/>
      </w:pPr>
      <w:r>
        <w:t>| **Down Payment** | $256,000 | $128,000 |</w:t>
      </w:r>
    </w:p>
    <w:p>
      <w:pPr>
        <w:spacing w:after="40"/>
      </w:pPr>
      <w:r>
        <w:t>| **Estimated Closing Costs (3% of purchase)** | $38,400 | $38,400 |</w:t>
      </w:r>
    </w:p>
    <w:p>
      <w:pPr>
        <w:spacing w:after="40"/>
      </w:pPr>
      <w:r>
        <w:t>| **Estimated Cash to Close** | **$294,400** | **$166,400** |</w:t>
      </w:r>
    </w:p>
    <w:p>
      <w:pPr>
        <w:spacing w:after="40"/>
      </w:pPr>
    </w:p>
    <w:p>
      <w:pPr>
        <w:spacing w:after="40"/>
      </w:pPr>
      <w:r>
        <w:t>### Key Observations</w:t>
      </w:r>
    </w:p>
    <w:p>
      <w:pPr>
        <w:spacing w:after="40"/>
      </w:pPr>
      <w:r>
        <w:t>- **Monthly Payment**: 10% down raises the base P&amp;I by ~$767/mo and adds ~$480/mo PMI.</w:t>
      </w:r>
    </w:p>
    <w:p>
      <w:pPr>
        <w:spacing w:after="40"/>
      </w:pPr>
      <w:r>
        <w:t>- **DTI Impact**: Both scenarios exceed conventional front‑end benchmarks (~28‑36%); the 10% down option pushes DTI to 56%, which may require compensating factors or a non‑QM program.</w:t>
      </w:r>
    </w:p>
    <w:p>
      <w:pPr>
        <w:spacing w:after="40"/>
      </w:pPr>
      <w:r>
        <w:t>- **Cash to Close**: 20% down requires ~$128,000 more upfront but eliminates PMI and lowers the monthly obligation by ~$1,247.</w:t>
      </w:r>
    </w:p>
    <w:p>
      <w:pPr>
        <w:spacing w:after="40"/>
      </w:pPr>
      <w:r>
        <w:t>- **PMI Duration**: Required until LTV reaches 78% (automatic) or 80% (borrower‑requested). On a 30‑yr amortization at 90% LTV, that typically takes 8‑10 years.</w:t>
      </w:r>
    </w:p>
    <w:p>
      <w:pPr>
        <w:spacing w:after="40"/>
      </w:pPr>
      <w:r>
        <w:t>- **Rate Benchmark**: The FRED MORTGAGE30US series was unavailable (API key not set); the 6% rate used here is a user‑supplied assumption.</w:t>
      </w:r>
    </w:p>
    <w:p>
      <w:pPr>
        <w:spacing w:after="40"/>
      </w:pPr>
      <w:r>
        <w:t>- **Credit Tier**: Score 770 → Tier 760+ (0 bps rate adjustment). *Educational only; not a credit pull or loan offer.*</w:t>
      </w:r>
    </w:p>
    <w:p>
      <w:pPr>
        <w:spacing w:after="40"/>
      </w:pPr>
    </w:p>
    <w:p>
      <w:pPr>
        <w:spacing w:after="40"/>
      </w:pPr>
      <w:r>
        <w:t>### DTI Guideline Context (Illustrative)</w:t>
      </w:r>
    </w:p>
    <w:p>
      <w:pPr>
        <w:spacing w:after="40"/>
      </w:pPr>
      <w:r>
        <w:t>- Conventional benchmarks often target **~28% front‑end / ~36% back‑end**.</w:t>
      </w:r>
    </w:p>
    <w:p>
      <w:pPr>
        <w:spacing w:after="40"/>
      </w:pPr>
      <w:r>
        <w:t>- Both scenarios exceed those benchmarks; actual approval depends on program, reserves, compensating factors, and lender overlays.</w:t>
      </w:r>
    </w:p>
    <w:p>
      <w:pPr>
        <w:spacing w:after="40"/>
      </w:pPr>
      <w:r>
        <w:t>- **No underwriting decision is implied.**</w:t>
      </w:r>
    </w:p>
    <w:p>
      <w:pPr>
        <w:spacing w:after="40"/>
      </w:pPr>
    </w:p>
    <w:p>
      <w:pPr>
        <w:spacing w:after="40"/>
      </w:pPr>
      <w:r>
        <w:t>*This is a factual illustration only. Actual PMI, closing costs, tax/insurance amounts, and DTI limits vary by lender, location, and borrower profile. Consult a loan officer for personalized quotes.*</w:t>
      </w:r>
    </w:p>
    <w:p>
      <w:r>
        <w:br w:type="page"/>
      </w:r>
    </w:p>
    <w:p>
      <w:pPr>
        <w:pStyle w:val="Heading1"/>
      </w:pPr>
      <w:r>
        <w:t>3. rate_finder</w:t>
      </w:r>
    </w:p>
    <w:p>
      <w:r>
        <w:rPr>
          <w:b/>
        </w:rPr>
        <w:t xml:space="preserve">Agent: </w:t>
      </w:r>
      <w:r>
        <w:t>rate_finder</w:t>
      </w:r>
    </w:p>
    <w:p>
      <w:pPr>
        <w:pStyle w:val="Heading2"/>
      </w:pPr>
      <w:r>
        <w:t>Prompt</w:t>
      </w:r>
    </w:p>
    <w:p>
      <w:pPr>
        <w:pStyle w:val="IntenseQuote"/>
      </w:pPr>
      <w:r>
        <w:t>For a conventional 30-year fixed loan on a $1,280,000 Berryessa (San Jose) purchase,</w:t>
      </w:r>
    </w:p>
    <w:p>
      <w:pPr>
        <w:pStyle w:val="IntenseQuote"/>
      </w:pPr>
      <w:r>
        <w:t>explain how today's national 30-year benchmark rate (FRED MORTGAGE30US) compares to</w:t>
      </w:r>
    </w:p>
    <w:p>
      <w:pPr>
        <w:pStyle w:val="IntenseQuote"/>
      </w:pPr>
      <w:r>
        <w:t>a 6% quoted rate. Also explain 30-year fixed vs 15-year fixed vs 5/1 ARM tradeoffs</w:t>
      </w:r>
    </w:p>
    <w:p>
      <w:pPr>
        <w:pStyle w:val="IntenseQuote"/>
      </w:pPr>
      <w:r>
        <w:t>for this price range. No recommendation — just facts.</w:t>
      </w:r>
    </w:p>
    <w:p>
      <w:pPr>
        <w:pStyle w:val="Heading2"/>
      </w:pPr>
      <w:r>
        <w:t>Output</w:t>
      </w:r>
    </w:p>
    <w:p>
      <w:pPr>
        <w:spacing w:after="40"/>
      </w:pPr>
      <w:r>
        <w:t>**Rate Finder Agent – Benchmark &amp; Loan‑Structure Summary**</w:t>
      </w:r>
    </w:p>
    <w:p>
      <w:pPr>
        <w:spacing w:after="40"/>
      </w:pPr>
    </w:p>
    <w:p>
      <w:pPr>
        <w:spacing w:after="40"/>
      </w:pPr>
      <w:r>
        <w:t>---</w:t>
      </w:r>
    </w:p>
    <w:p>
      <w:pPr>
        <w:spacing w:after="40"/>
      </w:pPr>
    </w:p>
    <w:p>
      <w:pPr>
        <w:spacing w:after="40"/>
      </w:pPr>
      <w:r>
        <w:t xml:space="preserve">### 1. Current FRED MORTGAGE30US Benchmark  </w:t>
      </w:r>
    </w:p>
    <w:p>
      <w:pPr>
        <w:spacing w:after="40"/>
      </w:pPr>
      <w:r>
        <w:t>The FRED API key is not configured, so I cannot retrieve today’s official 30‑year fixed‑rate benchmark (series **MORTGAGE30US**). When the series is available, it reflects the weekly average rate offered to prime borrowers for conforming loans (≤$766,550 in Santa Clara County for 2024).</w:t>
      </w:r>
    </w:p>
    <w:p>
      <w:pPr>
        <w:spacing w:after="40"/>
      </w:pPr>
    </w:p>
    <w:p>
      <w:pPr>
        <w:spacing w:after="40"/>
      </w:pPr>
      <w:r>
        <w:t xml:space="preserve">### 2. Comparing a 6% Quoted Rate to the Benchmark  </w:t>
      </w:r>
    </w:p>
    <w:p>
      <w:pPr>
        <w:spacing w:after="40"/>
      </w:pPr>
      <w:r>
        <w:t xml:space="preserve">*If* the benchmark were, for example, 6.5%, a 6% quote would be **below** the national average—possibly due to discount points, a strong credit profile, a larger down payment, or a lender promotion.  </w:t>
      </w:r>
    </w:p>
    <w:p>
      <w:pPr>
        <w:spacing w:after="40"/>
      </w:pPr>
      <w:r>
        <w:t xml:space="preserve">*If* the benchmark were 5.8%, a 6% quote would be **above** the average—potentially because the loan is **jumbo** (your $1.28M purchase exceeds the conforming limit), or the quote includes fewer/no points, or the borrower’s credit/LTV profile commands a premium.  </w:t>
      </w:r>
    </w:p>
    <w:p>
      <w:pPr>
        <w:spacing w:after="40"/>
      </w:pPr>
      <w:r>
        <w:t>**Key point:** The benchmark is a *conforming‑loan* average; jumbo loans (like yours) often carry a spread of +0.125% to +0.5% over the conforming benchmark, all else equal.</w:t>
      </w:r>
    </w:p>
    <w:p>
      <w:pPr>
        <w:spacing w:after="40"/>
      </w:pPr>
    </w:p>
    <w:p>
      <w:pPr>
        <w:spacing w:after="40"/>
      </w:pPr>
      <w:r>
        <w:t>---</w:t>
      </w:r>
    </w:p>
    <w:p>
      <w:pPr>
        <w:spacing w:after="40"/>
      </w:pPr>
    </w:p>
    <w:p>
      <w:pPr>
        <w:spacing w:after="40"/>
      </w:pPr>
      <w:r>
        <w:t>### 3. Loan‑Structure Trade‑offs (Facts Only)</w:t>
      </w:r>
    </w:p>
    <w:p>
      <w:pPr>
        <w:spacing w:after="40"/>
      </w:pPr>
    </w:p>
    <w:p>
      <w:pPr>
        <w:spacing w:after="40"/>
      </w:pPr>
      <w:r>
        <w:t>| Feature | 30‑Year Fixed | 15‑Year Fixed | 5/1 ARM (30‑yr amort.) |</w:t>
      </w:r>
    </w:p>
    <w:p>
      <w:pPr>
        <w:spacing w:after="40"/>
      </w:pPr>
      <w:r>
        <w:t>|---------|---------------|---------------|------------------------|</w:t>
      </w:r>
    </w:p>
    <w:p>
      <w:pPr>
        <w:spacing w:after="40"/>
      </w:pPr>
      <w:r>
        <w:t>| **Rate lock period** | Full 30 years | Full 15 years | Fixed5 years, then adjusts annually (typically based on SOFR/LIBOR + margin) |</w:t>
      </w:r>
    </w:p>
    <w:p>
      <w:pPr>
        <w:spacing w:after="40"/>
      </w:pPr>
      <w:r>
        <w:t>| **Typical rate differential** | Baseline | ~0.5%–0.75% lower than 30‑yr | ~0.25%–0.5% lower than 30‑yr fixed during initial fixed period |</w:t>
      </w:r>
    </w:p>
    <w:p>
      <w:pPr>
        <w:spacing w:after="40"/>
      </w:pPr>
      <w:r>
        <w:t>| **Monthly payment (on $1.28M, 6% 30‑yr)** | ~$7,670 | ~$10,800 (at ~5.35%) | ~$7,200–$7,400 initially (at ~5.5%–5.75%) |</w:t>
      </w:r>
    </w:p>
    <w:p>
      <w:pPr>
        <w:spacing w:after="40"/>
      </w:pPr>
      <w:r>
        <w:t>| **Total interest paid** | Highest (full30‑yr amortization) | ~60% less than 30‑yr | Lowest *if* rate stays low; can exceed fixed if rates rise sharply |</w:t>
      </w:r>
    </w:p>
    <w:p>
      <w:pPr>
        <w:spacing w:after="40"/>
      </w:pPr>
      <w:r>
        <w:t>| **Payment predictability** | Complete | Complete | Certain for 5 years; uncertain thereafter (subject to annual caps, lifetime cap) |</w:t>
      </w:r>
    </w:p>
    <w:p>
      <w:pPr>
        <w:spacing w:after="40"/>
      </w:pPr>
      <w:r>
        <w:t>| **Prepayment flexibility** | Standard | Standard | Often same, but check for prepayment penalties (rare on agency ARMs) |</w:t>
      </w:r>
    </w:p>
    <w:p>
      <w:pPr>
        <w:spacing w:after="40"/>
      </w:pPr>
      <w:r>
        <w:t>| **Suitability for jumbo ($1.28M)** | Widely available | Widely available; tighter DTI/credit standards | Available; some lenders restrict ARMs on jumbo or require larger reserves |</w:t>
      </w:r>
    </w:p>
    <w:p>
      <w:pPr>
        <w:spacing w:after="40"/>
      </w:pPr>
      <w:r>
        <w:t>| **Risk profile** | Rate risk = zero | Rate risk = zero; higher monthly cash‑flow commitment | Rate risk after year 5; payment could rise significantly if indexes increase |</w:t>
      </w:r>
    </w:p>
    <w:p>
      <w:pPr>
        <w:spacing w:after="40"/>
      </w:pPr>
    </w:p>
    <w:p>
      <w:pPr>
        <w:spacing w:after="40"/>
      </w:pPr>
      <w:r>
        <w:t>**Additional considerations for this price range:**</w:t>
      </w:r>
    </w:p>
    <w:p>
      <w:pPr>
        <w:spacing w:after="40"/>
      </w:pPr>
      <w:r>
        <w:t>- **Conforming vs. jumbo:** Santa Clara County 2024 conforming limit = $1,149,825. Your loan is jumbo; expect slightly stricter underwriting (reserves, DTI, credit score).</w:t>
      </w:r>
    </w:p>
    <w:p>
      <w:pPr>
        <w:spacing w:after="40"/>
      </w:pPr>
      <w:r>
        <w:t>- **Points/credits:** A 6% quote may include discount points (buying down the rate) or lender credits (higher rate, lower closing costs). Compare APR, not just note rate.</w:t>
      </w:r>
    </w:p>
    <w:p>
      <w:pPr>
        <w:spacing w:after="40"/>
      </w:pPr>
      <w:r>
        <w:t>- **ARM caps:** Typical 5/1 ARM has 2% annual / 6% lifetime caps. At a 5.75% start rate, the maximum possible rate is 11.75%.</w:t>
      </w:r>
    </w:p>
    <w:p>
      <w:pPr>
        <w:spacing w:after="40"/>
      </w:pPr>
      <w:r>
        <w:t>- **Tax deductibility:** Interest on up to $750k of acquisition debt is deductible (TCJA limit); the remainder may not be. Consult a tax advisor.</w:t>
      </w:r>
    </w:p>
    <w:p>
      <w:pPr>
        <w:spacing w:after="40"/>
      </w:pPr>
    </w:p>
    <w:p>
      <w:pPr>
        <w:spacing w:after="40"/>
      </w:pPr>
      <w:r>
        <w:t>---</w:t>
      </w:r>
    </w:p>
    <w:p>
      <w:pPr>
        <w:spacing w:after="40"/>
      </w:pPr>
    </w:p>
    <w:p>
      <w:pPr>
        <w:spacing w:after="40"/>
      </w:pPr>
      <w:r>
        <w:t>### 4. Next Steps (Informational)</w:t>
      </w:r>
    </w:p>
    <w:p>
      <w:pPr>
        <w:spacing w:after="40"/>
      </w:pPr>
      <w:r>
        <w:t xml:space="preserve">1. Ask your lender for the **current FRED MORTGAGE30US** value (or check FRED directly) to see the conforming benchmark.  </w:t>
      </w:r>
    </w:p>
    <w:p>
      <w:pPr>
        <w:spacing w:after="40"/>
      </w:pPr>
      <w:r>
        <w:t xml:space="preserve">2. Request **Loan Estimates** for all three structures at the same point/credit cost to compare APRs and total costs over your expected hold period.  </w:t>
      </w:r>
    </w:p>
    <w:p>
      <w:pPr>
        <w:spacing w:after="40"/>
      </w:pPr>
      <w:r>
        <w:t xml:space="preserve">3. Model cash‑flow scenarios: 30‑yr fixed vs. 15‑yr fixed (higher payment, faster equity) vs. 5/1 ARM (lower initial payment, refinancing/sale risk after year 5).  </w:t>
      </w:r>
    </w:p>
    <w:p>
      <w:pPr>
        <w:spacing w:after="40"/>
      </w:pPr>
    </w:p>
    <w:p>
      <w:pPr>
        <w:spacing w:after="40"/>
      </w:pPr>
      <w:r>
        <w:t>*No recommendation is made; this is a factual comparison to support your own decision.*</w:t>
      </w:r>
    </w:p>
    <w:p>
      <w:r>
        <w:br w:type="page"/>
      </w:r>
    </w:p>
    <w:p>
      <w:pPr>
        <w:pStyle w:val="Heading1"/>
      </w:pPr>
      <w:r>
        <w:t>4. payment_calculator</w:t>
      </w:r>
    </w:p>
    <w:p>
      <w:r>
        <w:rPr>
          <w:b/>
        </w:rPr>
        <w:t xml:space="preserve">Agent: </w:t>
      </w:r>
      <w:r>
        <w:t>payment_calculator</w:t>
      </w:r>
    </w:p>
    <w:p>
      <w:pPr>
        <w:pStyle w:val="Heading2"/>
      </w:pPr>
      <w:r>
        <w:t>Prompt</w:t>
      </w:r>
    </w:p>
    <w:p>
      <w:pPr>
        <w:pStyle w:val="IntenseQuote"/>
      </w:pPr>
      <w:r>
        <w:t>Purchase price: $1,280,000</w:t>
      </w:r>
    </w:p>
    <w:p>
      <w:pPr>
        <w:pStyle w:val="IntenseQuote"/>
      </w:pPr>
      <w:r>
        <w:t>Down payment: 20% ($256,000)</w:t>
      </w:r>
    </w:p>
    <w:p>
      <w:pPr>
        <w:pStyle w:val="IntenseQuote"/>
      </w:pPr>
      <w:r>
        <w:t>Interest rate: 6%, 30-year fixed</w:t>
      </w:r>
    </w:p>
    <w:p>
      <w:pPr>
        <w:pStyle w:val="IntenseQuote"/>
      </w:pPr>
      <w:r>
        <w:t>Property tax: $1,300/mo</w:t>
      </w:r>
    </w:p>
    <w:p>
      <w:pPr>
        <w:pStyle w:val="IntenseQuote"/>
      </w:pPr>
      <w:r>
        <w:t>Home insurance: $150/mo</w:t>
      </w:r>
    </w:p>
    <w:p>
      <w:pPr>
        <w:pStyle w:val="IntenseQuote"/>
      </w:pPr>
      <w:r>
        <w:t>HOA: $25/mo</w:t>
      </w:r>
    </w:p>
    <w:p>
      <w:pPr>
        <w:pStyle w:val="IntenseQuote"/>
      </w:pPr>
      <w:r>
        <w:t>Utilities: $300/mo</w:t>
      </w:r>
    </w:p>
    <w:p>
      <w:pPr>
        <w:pStyle w:val="IntenseQuote"/>
      </w:pPr>
    </w:p>
    <w:p>
      <w:pPr>
        <w:pStyle w:val="IntenseQuote"/>
      </w:pPr>
      <w:r>
        <w:t>Calculate loan amount, LTV, monthly P&amp;I, PMI (if any), total monthly housing cost,</w:t>
      </w:r>
    </w:p>
    <w:p>
      <w:pPr>
        <w:pStyle w:val="IntenseQuote"/>
      </w:pPr>
      <w:r>
        <w:t>and estimated cash to close (include ~3% closing costs).</w:t>
      </w:r>
    </w:p>
    <w:p>
      <w:pPr>
        <w:pStyle w:val="Heading2"/>
      </w:pPr>
      <w:r>
        <w:t>Output</w:t>
      </w:r>
    </w:p>
    <w:p>
      <w:pPr>
        <w:spacing w:after="40"/>
      </w:pPr>
      <w:r>
        <w:t xml:space="preserve">**Loan Amount**  </w:t>
      </w:r>
    </w:p>
    <w:p>
      <w:pPr>
        <w:spacing w:after="40"/>
      </w:pPr>
      <w:r>
        <w:t>$1,280,000 – $256,000 = **$1,024,000**</w:t>
      </w:r>
    </w:p>
    <w:p>
      <w:pPr>
        <w:spacing w:after="40"/>
      </w:pPr>
    </w:p>
    <w:p>
      <w:pPr>
        <w:spacing w:after="40"/>
      </w:pPr>
      <w:r>
        <w:t xml:space="preserve">**LTV**  </w:t>
      </w:r>
    </w:p>
    <w:p>
      <w:pPr>
        <w:spacing w:after="40"/>
      </w:pPr>
      <w:r>
        <w:t>Loan‑to‑Value = 80.0% (down payment = 20%) – *no PMI required*</w:t>
      </w:r>
    </w:p>
    <w:p>
      <w:pPr>
        <w:spacing w:after="40"/>
      </w:pPr>
    </w:p>
    <w:p>
      <w:pPr>
        <w:spacing w:after="40"/>
      </w:pPr>
      <w:r>
        <w:t xml:space="preserve">**Monthly Principal &amp; Interest (P&amp;I)**  </w:t>
      </w:r>
    </w:p>
    <w:p>
      <w:pPr>
        <w:spacing w:after="40"/>
      </w:pPr>
      <w:r>
        <w:t>$6,139.40 (30‑yr fixed @ 6.00%)</w:t>
      </w:r>
    </w:p>
    <w:p>
      <w:pPr>
        <w:spacing w:after="40"/>
      </w:pPr>
    </w:p>
    <w:p>
      <w:pPr>
        <w:spacing w:after="40"/>
      </w:pPr>
      <w:r>
        <w:t xml:space="preserve">**Monthly PMI**  </w:t>
      </w:r>
    </w:p>
    <w:p>
      <w:pPr>
        <w:spacing w:after="40"/>
      </w:pPr>
      <w:r>
        <w:t>$0.00 (LTV ≤ 80%)</w:t>
      </w:r>
    </w:p>
    <w:p>
      <w:pPr>
        <w:spacing w:after="40"/>
      </w:pPr>
    </w:p>
    <w:p>
      <w:pPr>
        <w:spacing w:after="40"/>
      </w:pPr>
      <w:r>
        <w:t xml:space="preserve">**Total Monthly Housing Cost**  </w:t>
      </w:r>
    </w:p>
    <w:p>
      <w:pPr>
        <w:spacing w:after="40"/>
      </w:pPr>
      <w:r>
        <w:t>| Component | Amount |</w:t>
      </w:r>
    </w:p>
    <w:p>
      <w:pPr>
        <w:spacing w:after="40"/>
      </w:pPr>
      <w:r>
        <w:t>|-----------|--------|</w:t>
      </w:r>
    </w:p>
    <w:p>
      <w:pPr>
        <w:spacing w:after="40"/>
      </w:pPr>
      <w:r>
        <w:t>| Principal &amp; Interest | $6,139.40 |</w:t>
      </w:r>
    </w:p>
    <w:p>
      <w:pPr>
        <w:spacing w:after="40"/>
      </w:pPr>
      <w:r>
        <w:t>| Property Tax | $1,300.00 |</w:t>
      </w:r>
    </w:p>
    <w:p>
      <w:pPr>
        <w:spacing w:after="40"/>
      </w:pPr>
      <w:r>
        <w:t>| Home Insurance | $150.00 |</w:t>
      </w:r>
    </w:p>
    <w:p>
      <w:pPr>
        <w:spacing w:after="40"/>
      </w:pPr>
      <w:r>
        <w:t>| HOA | $25.00 |</w:t>
      </w:r>
    </w:p>
    <w:p>
      <w:pPr>
        <w:spacing w:after="40"/>
      </w:pPr>
      <w:r>
        <w:t>| Utilities | $300.00 |</w:t>
      </w:r>
    </w:p>
    <w:p>
      <w:pPr>
        <w:spacing w:after="40"/>
      </w:pPr>
      <w:r>
        <w:t>| PMI | $0.00 |</w:t>
      </w:r>
    </w:p>
    <w:p>
      <w:pPr>
        <w:spacing w:after="40"/>
      </w:pPr>
      <w:r>
        <w:t>| **Total** | **$7,914.40** |</w:t>
      </w:r>
    </w:p>
    <w:p>
      <w:pPr>
        <w:spacing w:after="40"/>
      </w:pPr>
    </w:p>
    <w:p>
      <w:pPr>
        <w:spacing w:after="40"/>
      </w:pPr>
      <w:r>
        <w:t xml:space="preserve">**Estimated Cash to Close**  </w:t>
      </w:r>
    </w:p>
    <w:p>
      <w:pPr>
        <w:spacing w:after="40"/>
      </w:pPr>
      <w:r>
        <w:t xml:space="preserve">- Down payment: $256,000  </w:t>
      </w:r>
    </w:p>
    <w:p>
      <w:pPr>
        <w:spacing w:after="40"/>
      </w:pPr>
      <w:r>
        <w:t xml:space="preserve">- Closing costs (≈3% of purchase price): $38,400  </w:t>
      </w:r>
    </w:p>
    <w:p>
      <w:pPr>
        <w:spacing w:after="40"/>
      </w:pPr>
      <w:r>
        <w:t>- **Total cash to close: $294,400**</w:t>
      </w:r>
    </w:p>
    <w:p>
      <w:r>
        <w:br w:type="page"/>
      </w:r>
    </w:p>
    <w:p>
      <w:pPr>
        <w:pStyle w:val="Heading1"/>
      </w:pPr>
      <w:r>
        <w:t>5. affordability_analyzer</w:t>
      </w:r>
    </w:p>
    <w:p>
      <w:r>
        <w:rPr>
          <w:b/>
        </w:rPr>
        <w:t xml:space="preserve">Agent: </w:t>
      </w:r>
      <w:r>
        <w:t>affordability_analyzer</w:t>
      </w:r>
    </w:p>
    <w:p>
      <w:pPr>
        <w:pStyle w:val="Heading2"/>
      </w:pPr>
      <w:r>
        <w:t>Prompt</w:t>
      </w:r>
    </w:p>
    <w:p>
      <w:pPr>
        <w:pStyle w:val="IntenseQuote"/>
      </w:pPr>
      <w:r>
        <w:t>Gross annual household income: $190,000</w:t>
      </w:r>
    </w:p>
    <w:p>
      <w:pPr>
        <w:pStyle w:val="IntenseQuote"/>
      </w:pPr>
      <w:r>
        <w:t>Credit score: 770</w:t>
      </w:r>
    </w:p>
    <w:p>
      <w:pPr>
        <w:pStyle w:val="IntenseQuote"/>
      </w:pPr>
      <w:r>
        <w:t>Other monthly debts: $0</w:t>
      </w:r>
    </w:p>
    <w:p>
      <w:pPr>
        <w:pStyle w:val="IntenseQuote"/>
      </w:pPr>
      <w:r>
        <w:t>Proposed total monthly housing payment: $7,914</w:t>
      </w:r>
    </w:p>
    <w:p>
      <w:pPr>
        <w:pStyle w:val="IntenseQuote"/>
      </w:pPr>
      <w:r>
        <w:t>(includes P&amp;I ~$6,139, tax $1,300, insurance $150, HOA $25, utilities $300)</w:t>
      </w:r>
    </w:p>
    <w:p>
      <w:pPr>
        <w:pStyle w:val="IntenseQuote"/>
      </w:pPr>
    </w:p>
    <w:p>
      <w:pPr>
        <w:pStyle w:val="IntenseQuote"/>
      </w:pPr>
      <w:r>
        <w:t>What credit tier does 770 map to? What are front-end and back-end DTI ratios?</w:t>
      </w:r>
    </w:p>
    <w:p>
      <w:pPr>
        <w:pStyle w:val="IntenseQuote"/>
      </w:pPr>
      <w:r>
        <w:t>How do those compare to typical conventional guidelines? Illustrative only.</w:t>
      </w:r>
    </w:p>
    <w:p>
      <w:pPr>
        <w:pStyle w:val="Heading2"/>
      </w:pPr>
      <w:r>
        <w:t>Output</w:t>
      </w:r>
    </w:p>
    <w:p>
      <w:pPr>
        <w:spacing w:after="40"/>
      </w:pPr>
      <w:r>
        <w:t xml:space="preserve">**Credit Tier (Educational Only)**  </w:t>
      </w:r>
    </w:p>
    <w:p>
      <w:pPr>
        <w:spacing w:after="40"/>
      </w:pPr>
      <w:r>
        <w:t xml:space="preserve">- **FICO 770 → Tier: “760+”**  </w:t>
      </w:r>
    </w:p>
    <w:p>
      <w:pPr>
        <w:spacing w:after="40"/>
      </w:pPr>
      <w:r>
        <w:t xml:space="preserve">- **Illustrative rate adjustment: 0 bps** (best conventional pricing tier)  </w:t>
      </w:r>
    </w:p>
    <w:p>
      <w:pPr>
        <w:spacing w:after="40"/>
      </w:pPr>
    </w:p>
    <w:p>
      <w:pPr>
        <w:spacing w:after="40"/>
      </w:pPr>
      <w:r>
        <w:t>**Debt-to-Income Ratios (Illustrative Only)**| Metric | Value |</w:t>
      </w:r>
    </w:p>
    <w:p>
      <w:pPr>
        <w:spacing w:after="40"/>
      </w:pPr>
      <w:r>
        <w:t>|--------|-------|</w:t>
      </w:r>
    </w:p>
    <w:p>
      <w:pPr>
        <w:spacing w:after="40"/>
      </w:pPr>
      <w:r>
        <w:t>| Gross monthly income | $15,833 |</w:t>
      </w:r>
    </w:p>
    <w:p>
      <w:pPr>
        <w:spacing w:after="40"/>
      </w:pPr>
      <w:r>
        <w:t>| Proposed monthly housing payment (PITI + HOA + utilities) | $7,914 |</w:t>
      </w:r>
    </w:p>
    <w:p>
      <w:pPr>
        <w:spacing w:after="40"/>
      </w:pPr>
      <w:r>
        <w:t>| Other monthly debts | $0 |</w:t>
      </w:r>
    </w:p>
    <w:p>
      <w:pPr>
        <w:spacing w:after="40"/>
      </w:pPr>
      <w:r>
        <w:t>| **Front-end DTI** (housing ÷ gross income) | **49.98 %** |</w:t>
      </w:r>
    </w:p>
    <w:p>
      <w:pPr>
        <w:spacing w:after="40"/>
      </w:pPr>
      <w:r>
        <w:t>| **Back-end DTI** (housing + other debts ÷ gross income) | **49.98 %** |</w:t>
      </w:r>
    </w:p>
    <w:p>
      <w:pPr>
        <w:spacing w:after="40"/>
      </w:pPr>
    </w:p>
    <w:p>
      <w:pPr>
        <w:spacing w:after="40"/>
      </w:pPr>
      <w:r>
        <w:t xml:space="preserve">**Comparison to Typical Conventional Guidelines**  </w:t>
      </w:r>
    </w:p>
    <w:p>
      <w:pPr>
        <w:spacing w:after="40"/>
      </w:pPr>
      <w:r>
        <w:t xml:space="preserve">- **Front-end target:** ~28 %  </w:t>
      </w:r>
    </w:p>
    <w:p>
      <w:pPr>
        <w:spacing w:after="40"/>
      </w:pPr>
      <w:r>
        <w:t xml:space="preserve">- **Back-end target:** ~36 %  </w:t>
      </w:r>
    </w:p>
    <w:p>
      <w:pPr>
        <w:spacing w:after="40"/>
      </w:pPr>
    </w:p>
    <w:p>
      <w:pPr>
        <w:spacing w:after="40"/>
      </w:pPr>
      <w:r>
        <w:t xml:space="preserve">Your illustrative ratios (~50 % front-end and back-end) are **well above** those common benchmarks.  </w:t>
      </w:r>
    </w:p>
    <w:p>
      <w:pPr>
        <w:spacing w:after="40"/>
      </w:pPr>
    </w:p>
    <w:p>
      <w:pPr>
        <w:spacing w:after="40"/>
      </w:pPr>
      <w:r>
        <w:t>&gt; **Important:** These figures are purely educational illustrations based on the numbers you provided. They do **not** constitute an underwriting decision, pre-approval, or commitment to lend. Actual qualification depends on the full loan file, program rules, compensating factors, and the lender’s final review.</w:t>
      </w:r>
    </w:p>
    <w:p>
      <w:r>
        <w:br w:type="page"/>
      </w:r>
    </w:p>
    <w:p>
      <w:pPr>
        <w:pStyle w:val="Heading1"/>
      </w:pPr>
      <w:r>
        <w:t>6. compliance_critic</w:t>
      </w:r>
    </w:p>
    <w:p>
      <w:r>
        <w:rPr>
          <w:b/>
        </w:rPr>
        <w:t xml:space="preserve">Agent: </w:t>
      </w:r>
      <w:r>
        <w:t>compliance_critic</w:t>
      </w:r>
    </w:p>
    <w:p>
      <w:pPr>
        <w:pStyle w:val="Heading2"/>
      </w:pPr>
      <w:r>
        <w:t>Prompt</w:t>
      </w:r>
    </w:p>
    <w:p>
      <w:pPr>
        <w:pStyle w:val="IntenseQuote"/>
      </w:pPr>
      <w:r>
        <w:t>Review this draft mortgage summary for math errors and advice-giving language:</w:t>
      </w:r>
    </w:p>
    <w:p>
      <w:pPr>
        <w:pStyle w:val="IntenseQuote"/>
      </w:pPr>
    </w:p>
    <w:p>
      <w:pPr>
        <w:pStyle w:val="IntenseQuote"/>
      </w:pPr>
      <w:r>
        <w:t>"On a $1,280,000 Berryessa home with $256,000 down (20%), the loan is $1,024,000</w:t>
      </w:r>
    </w:p>
    <w:p>
      <w:pPr>
        <w:pStyle w:val="IntenseQuote"/>
      </w:pPr>
      <w:r>
        <w:t>at 6% for 30 years. Monthly P&amp;I is $6,139. With tax ($1,300), insurance ($150),</w:t>
      </w:r>
    </w:p>
    <w:p>
      <w:pPr>
        <w:pStyle w:val="IntenseQuote"/>
      </w:pPr>
      <w:r>
        <w:t>HOA ($25), and utilities ($300), total monthly cost is $7,914.</w:t>
      </w:r>
    </w:p>
    <w:p>
      <w:pPr>
        <w:pStyle w:val="IntenseQuote"/>
      </w:pPr>
      <w:r>
        <w:t>At $190,000 income, front-end DTI is 50%. You should take this loan — you can afford it."</w:t>
      </w:r>
    </w:p>
    <w:p>
      <w:pPr>
        <w:pStyle w:val="IntenseQuote"/>
      </w:pPr>
    </w:p>
    <w:p>
      <w:pPr>
        <w:pStyle w:val="IntenseQuote"/>
      </w:pPr>
      <w:r>
        <w:t>Verify P&amp;I with loan_amount=1024000, rate=6%, term=30, reported_monthly_pi=6139.</w:t>
      </w:r>
    </w:p>
    <w:p>
      <w:pPr>
        <w:pStyle w:val="IntenseQuote"/>
      </w:pPr>
      <w:r>
        <w:t>Flag any issues and rewrite without advice language.</w:t>
      </w:r>
    </w:p>
    <w:p>
      <w:pPr>
        <w:pStyle w:val="Heading2"/>
      </w:pPr>
      <w:r>
        <w:t>Output</w:t>
      </w:r>
    </w:p>
    <w:p>
      <w:pPr>
        <w:spacing w:after="40"/>
      </w:pPr>
      <w:r>
        <w:t>REVISE: On a $1,280,000 Berryessa home with $256,000 down (20%), the loan is $1,024,000 at 6% for 30 years. Monthly P&amp;I is $6,139. With tax ($1,300), insurance ($150), HOA ($25), and utilities ($300), total monthly cost is $7,914. At $190,000 income, front-end DTI is 50%. This information is for educational purposes only and does not constitute financial advice. Consult a licensed mortgage professional for personalized guidance.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