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066833"/>
        <w:docPartObj>
          <w:docPartGallery w:val="Cover Pages"/>
          <w:docPartUnique/>
        </w:docPartObj>
      </w:sdtPr>
      <w:sdtEndPr/>
      <w:sdtContent>
        <w:p w:rsidR="007511E3" w:rsidRDefault="007511E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0FC96F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15"/>
                                  <w:gridCol w:w="2690"/>
                                  <w:gridCol w:w="2593"/>
                                </w:tblGrid>
                                <w:tr w:rsidR="007511E3" w:rsidRPr="007511E3" w:rsidTr="00CB4907">
                                  <w:tc>
                                    <w:tcPr>
                                      <w:tcW w:w="3116" w:type="dxa"/>
                                    </w:tcPr>
                                    <w:p w:rsidR="007511E3" w:rsidRPr="007511E3" w:rsidRDefault="007511E3" w:rsidP="007511E3">
                                      <w:pPr>
                                        <w:jc w:val="center"/>
                                        <w:rPr>
                                          <w:rFonts w:ascii="Segoe UI" w:hAnsi="Segoe UI" w:cs="Segoe UI"/>
                                        </w:rPr>
                                      </w:pPr>
                                      <w:r w:rsidRPr="007511E3">
                                        <w:rPr>
                                          <w:rFonts w:ascii="Segoe UI" w:hAnsi="Segoe UI" w:cs="Segoe UI"/>
                                        </w:rPr>
                                        <w:t>CIS300-18</w:t>
                                      </w:r>
                                    </w:p>
                                    <w:p w:rsidR="007511E3" w:rsidRPr="007511E3" w:rsidRDefault="007511E3" w:rsidP="007511E3">
                                      <w:pPr>
                                        <w:jc w:val="center"/>
                                        <w:rPr>
                                          <w:rFonts w:ascii="Segoe UI" w:hAnsi="Segoe UI" w:cs="Segoe UI"/>
                                        </w:rPr>
                                      </w:pPr>
                                      <w:r w:rsidRPr="007511E3">
                                        <w:rPr>
                                          <w:rFonts w:ascii="Segoe UI" w:hAnsi="Segoe UI" w:cs="Segoe UI"/>
                                        </w:rPr>
                                        <w:t>Fall 2016</w:t>
                                      </w:r>
                                    </w:p>
                                  </w:tc>
                                  <w:tc>
                                    <w:tcPr>
                                      <w:tcW w:w="3117" w:type="dxa"/>
                                    </w:tcPr>
                                    <w:p w:rsidR="007511E3" w:rsidRPr="007511E3" w:rsidRDefault="007511E3" w:rsidP="007511E3">
                                      <w:pPr>
                                        <w:jc w:val="center"/>
                                        <w:rPr>
                                          <w:rFonts w:ascii="Segoe UI" w:hAnsi="Segoe UI" w:cs="Segoe UI"/>
                                        </w:rPr>
                                      </w:pPr>
                                      <w:r w:rsidRPr="007511E3">
                                        <w:rPr>
                                          <w:rFonts w:ascii="Segoe UI" w:hAnsi="Segoe UI" w:cs="Segoe UI"/>
                                        </w:rPr>
                                        <w:t>Case 07: The Fracking Oil Investment Decision</w:t>
                                      </w:r>
                                    </w:p>
                                  </w:tc>
                                  <w:tc>
                                    <w:tcPr>
                                      <w:tcW w:w="3117" w:type="dxa"/>
                                    </w:tcPr>
                                    <w:p w:rsidR="007511E3" w:rsidRPr="007511E3" w:rsidRDefault="007511E3" w:rsidP="007511E3">
                                      <w:pPr>
                                        <w:jc w:val="center"/>
                                        <w:rPr>
                                          <w:rFonts w:ascii="Segoe UI" w:hAnsi="Segoe UI" w:cs="Segoe UI"/>
                                        </w:rPr>
                                      </w:pPr>
                                      <w:r w:rsidRPr="007511E3">
                                        <w:rPr>
                                          <w:rFonts w:ascii="Segoe UI" w:hAnsi="Segoe UI" w:cs="Segoe UI"/>
                                        </w:rPr>
                                        <w:t>Final Report</w:t>
                                      </w:r>
                                    </w:p>
                                  </w:tc>
                                </w:tr>
                              </w:tbl>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7511E3" w:rsidRDefault="007511E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tbl>
                          <w:tblPr>
                            <w:tblStyle w:val="TableGrid"/>
                            <w:tblW w:w="0" w:type="auto"/>
                            <w:tblLook w:val="04A0" w:firstRow="1" w:lastRow="0" w:firstColumn="1" w:lastColumn="0" w:noHBand="0" w:noVBand="1"/>
                          </w:tblPr>
                          <w:tblGrid>
                            <w:gridCol w:w="2615"/>
                            <w:gridCol w:w="2690"/>
                            <w:gridCol w:w="2593"/>
                          </w:tblGrid>
                          <w:tr w:rsidR="007511E3" w:rsidRPr="007511E3" w:rsidTr="00CB4907">
                            <w:tc>
                              <w:tcPr>
                                <w:tcW w:w="3116" w:type="dxa"/>
                              </w:tcPr>
                              <w:p w:rsidR="007511E3" w:rsidRPr="007511E3" w:rsidRDefault="007511E3" w:rsidP="007511E3">
                                <w:pPr>
                                  <w:jc w:val="center"/>
                                  <w:rPr>
                                    <w:rFonts w:ascii="Segoe UI" w:hAnsi="Segoe UI" w:cs="Segoe UI"/>
                                  </w:rPr>
                                </w:pPr>
                                <w:r w:rsidRPr="007511E3">
                                  <w:rPr>
                                    <w:rFonts w:ascii="Segoe UI" w:hAnsi="Segoe UI" w:cs="Segoe UI"/>
                                  </w:rPr>
                                  <w:t>CIS300-18</w:t>
                                </w:r>
                              </w:p>
                              <w:p w:rsidR="007511E3" w:rsidRPr="007511E3" w:rsidRDefault="007511E3" w:rsidP="007511E3">
                                <w:pPr>
                                  <w:jc w:val="center"/>
                                  <w:rPr>
                                    <w:rFonts w:ascii="Segoe UI" w:hAnsi="Segoe UI" w:cs="Segoe UI"/>
                                  </w:rPr>
                                </w:pPr>
                                <w:r w:rsidRPr="007511E3">
                                  <w:rPr>
                                    <w:rFonts w:ascii="Segoe UI" w:hAnsi="Segoe UI" w:cs="Segoe UI"/>
                                  </w:rPr>
                                  <w:t>Fall 2016</w:t>
                                </w:r>
                              </w:p>
                            </w:tc>
                            <w:tc>
                              <w:tcPr>
                                <w:tcW w:w="3117" w:type="dxa"/>
                              </w:tcPr>
                              <w:p w:rsidR="007511E3" w:rsidRPr="007511E3" w:rsidRDefault="007511E3" w:rsidP="007511E3">
                                <w:pPr>
                                  <w:jc w:val="center"/>
                                  <w:rPr>
                                    <w:rFonts w:ascii="Segoe UI" w:hAnsi="Segoe UI" w:cs="Segoe UI"/>
                                  </w:rPr>
                                </w:pPr>
                                <w:r w:rsidRPr="007511E3">
                                  <w:rPr>
                                    <w:rFonts w:ascii="Segoe UI" w:hAnsi="Segoe UI" w:cs="Segoe UI"/>
                                  </w:rPr>
                                  <w:t>Case 07: The Fracking Oil Investment Decision</w:t>
                                </w:r>
                              </w:p>
                            </w:tc>
                            <w:tc>
                              <w:tcPr>
                                <w:tcW w:w="3117" w:type="dxa"/>
                              </w:tcPr>
                              <w:p w:rsidR="007511E3" w:rsidRPr="007511E3" w:rsidRDefault="007511E3" w:rsidP="007511E3">
                                <w:pPr>
                                  <w:jc w:val="center"/>
                                  <w:rPr>
                                    <w:rFonts w:ascii="Segoe UI" w:hAnsi="Segoe UI" w:cs="Segoe UI"/>
                                  </w:rPr>
                                </w:pPr>
                                <w:r w:rsidRPr="007511E3">
                                  <w:rPr>
                                    <w:rFonts w:ascii="Segoe UI" w:hAnsi="Segoe UI" w:cs="Segoe UI"/>
                                  </w:rPr>
                                  <w:t>Final Report</w:t>
                                </w:r>
                              </w:p>
                            </w:tc>
                          </w:tr>
                        </w:tbl>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7511E3" w:rsidRDefault="007511E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1E3" w:rsidRPr="007511E3" w:rsidRDefault="00064C89">
                                <w:pPr>
                                  <w:jc w:val="right"/>
                                  <w:rPr>
                                    <w:rFonts w:ascii="Segoe UI" w:hAnsi="Segoe UI" w:cs="Segoe UI"/>
                                    <w:color w:val="5B9BD5" w:themeColor="accent1"/>
                                    <w:sz w:val="64"/>
                                    <w:szCs w:val="64"/>
                                  </w:rPr>
                                </w:pPr>
                                <w:sdt>
                                  <w:sdtPr>
                                    <w:rPr>
                                      <w:rFonts w:ascii="Segoe UI" w:hAnsi="Segoe UI" w:cs="Segoe UI"/>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11E3" w:rsidRPr="007511E3">
                                      <w:rPr>
                                        <w:rFonts w:ascii="Segoe UI" w:hAnsi="Segoe UI" w:cs="Segoe UI"/>
                                        <w:caps/>
                                        <w:color w:val="5B9BD5" w:themeColor="accent1"/>
                                        <w:sz w:val="64"/>
                                        <w:szCs w:val="64"/>
                                      </w:rPr>
                                      <w:t>Case 07:</w:t>
                                    </w:r>
                                  </w:sdtContent>
                                </w:sdt>
                              </w:p>
                              <w:sdt>
                                <w:sdtPr>
                                  <w:rPr>
                                    <w:rFonts w:ascii="Segoe UI" w:hAnsi="Segoe UI" w:cs="Segoe U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511E3" w:rsidRPr="007511E3" w:rsidRDefault="00EB10FC">
                                    <w:pPr>
                                      <w:jc w:val="right"/>
                                      <w:rPr>
                                        <w:rFonts w:ascii="Segoe UI" w:hAnsi="Segoe UI" w:cs="Segoe UI"/>
                                        <w:smallCaps/>
                                        <w:color w:val="404040" w:themeColor="text1" w:themeTint="BF"/>
                                        <w:sz w:val="36"/>
                                        <w:szCs w:val="36"/>
                                      </w:rPr>
                                    </w:pPr>
                                    <w:r>
                                      <w:rPr>
                                        <w:rFonts w:ascii="Segoe UI" w:hAnsi="Segoe UI" w:cs="Segoe UI"/>
                                        <w:color w:val="404040" w:themeColor="text1" w:themeTint="BF"/>
                                        <w:sz w:val="36"/>
                                        <w:szCs w:val="36"/>
                                      </w:rPr>
                                      <w:t>The Fracking Oil</w:t>
                                    </w:r>
                                    <w:r w:rsidR="007511E3" w:rsidRPr="007511E3">
                                      <w:rPr>
                                        <w:rFonts w:ascii="Segoe UI" w:hAnsi="Segoe UI" w:cs="Segoe UI"/>
                                        <w:color w:val="404040" w:themeColor="text1" w:themeTint="BF"/>
                                        <w:sz w:val="36"/>
                                        <w:szCs w:val="36"/>
                                      </w:rPr>
                                      <w:t xml:space="preserve"> Investment Decision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511E3" w:rsidRPr="007511E3" w:rsidRDefault="007511E3">
                          <w:pPr>
                            <w:jc w:val="right"/>
                            <w:rPr>
                              <w:rFonts w:ascii="Segoe UI" w:hAnsi="Segoe UI" w:cs="Segoe UI"/>
                              <w:color w:val="5B9BD5" w:themeColor="accent1"/>
                              <w:sz w:val="64"/>
                              <w:szCs w:val="64"/>
                            </w:rPr>
                          </w:pPr>
                          <w:sdt>
                            <w:sdtPr>
                              <w:rPr>
                                <w:rFonts w:ascii="Segoe UI" w:hAnsi="Segoe UI" w:cs="Segoe UI"/>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511E3">
                                <w:rPr>
                                  <w:rFonts w:ascii="Segoe UI" w:hAnsi="Segoe UI" w:cs="Segoe UI"/>
                                  <w:caps/>
                                  <w:color w:val="5B9BD5" w:themeColor="accent1"/>
                                  <w:sz w:val="64"/>
                                  <w:szCs w:val="64"/>
                                </w:rPr>
                                <w:t>Case 07:</w:t>
                              </w:r>
                            </w:sdtContent>
                          </w:sdt>
                        </w:p>
                        <w:sdt>
                          <w:sdtPr>
                            <w:rPr>
                              <w:rFonts w:ascii="Segoe UI" w:hAnsi="Segoe UI" w:cs="Segoe U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11E3" w:rsidRPr="007511E3" w:rsidRDefault="00EB10FC">
                              <w:pPr>
                                <w:jc w:val="right"/>
                                <w:rPr>
                                  <w:rFonts w:ascii="Segoe UI" w:hAnsi="Segoe UI" w:cs="Segoe UI"/>
                                  <w:smallCaps/>
                                  <w:color w:val="404040" w:themeColor="text1" w:themeTint="BF"/>
                                  <w:sz w:val="36"/>
                                  <w:szCs w:val="36"/>
                                </w:rPr>
                              </w:pPr>
                              <w:r>
                                <w:rPr>
                                  <w:rFonts w:ascii="Segoe UI" w:hAnsi="Segoe UI" w:cs="Segoe UI"/>
                                  <w:color w:val="404040" w:themeColor="text1" w:themeTint="BF"/>
                                  <w:sz w:val="36"/>
                                  <w:szCs w:val="36"/>
                                </w:rPr>
                                <w:t>The Fracking Oil</w:t>
                              </w:r>
                              <w:r w:rsidR="007511E3" w:rsidRPr="007511E3">
                                <w:rPr>
                                  <w:rFonts w:ascii="Segoe UI" w:hAnsi="Segoe UI" w:cs="Segoe UI"/>
                                  <w:color w:val="404040" w:themeColor="text1" w:themeTint="BF"/>
                                  <w:sz w:val="36"/>
                                  <w:szCs w:val="36"/>
                                </w:rPr>
                                <w:t xml:space="preserve"> Investment Decision</w:t>
                              </w:r>
                            </w:p>
                          </w:sdtContent>
                        </w:sdt>
                      </w:txbxContent>
                    </v:textbox>
                    <w10:wrap type="square" anchorx="page" anchory="page"/>
                  </v:shape>
                </w:pict>
              </mc:Fallback>
            </mc:AlternateContent>
          </w:r>
        </w:p>
        <w:p w:rsidR="007511E3" w:rsidRDefault="007511E3">
          <w:r>
            <w:br w:type="page"/>
          </w:r>
        </w:p>
      </w:sdtContent>
    </w:sdt>
    <w:p w:rsidR="007511E3" w:rsidRDefault="00EB10FC" w:rsidP="007511E3">
      <w:pPr>
        <w:spacing w:line="276" w:lineRule="auto"/>
        <w:rPr>
          <w:rFonts w:ascii="Segoe UI" w:hAnsi="Segoe UI" w:cs="Segoe UI"/>
        </w:rPr>
      </w:pPr>
      <w:r>
        <w:rPr>
          <w:rFonts w:ascii="Segoe UI" w:hAnsi="Segoe UI" w:cs="Segoe UI"/>
        </w:rPr>
        <w:lastRenderedPageBreak/>
        <w:tab/>
        <w:t>Oil fracking has proven a controversial yet lucrative industry in recent years. The industry itself is quite volatile, and with only a few mistakes or even stroke of misfortune, an investor</w:t>
      </w:r>
      <w:r w:rsidR="007A2D0F">
        <w:rPr>
          <w:rFonts w:ascii="Segoe UI" w:hAnsi="Segoe UI" w:cs="Segoe UI"/>
        </w:rPr>
        <w:t>’s money could</w:t>
      </w:r>
      <w:r>
        <w:rPr>
          <w:rFonts w:ascii="Segoe UI" w:hAnsi="Segoe UI" w:cs="Segoe UI"/>
        </w:rPr>
        <w:t xml:space="preserve"> rot in the bottom of a dried-up oil well. Recently, our team of investment analysts was approached by a wealthy venture capitalist who is</w:t>
      </w:r>
      <w:r w:rsidR="00F840D3">
        <w:rPr>
          <w:rFonts w:ascii="Segoe UI" w:hAnsi="Segoe UI" w:cs="Segoe UI"/>
        </w:rPr>
        <w:t xml:space="preserve"> considering entering the market after meeting with a</w:t>
      </w:r>
      <w:r w:rsidR="007A2D0F">
        <w:rPr>
          <w:rFonts w:ascii="Segoe UI" w:hAnsi="Segoe UI" w:cs="Segoe UI"/>
        </w:rPr>
        <w:t xml:space="preserve"> well-off</w:t>
      </w:r>
      <w:r w:rsidR="00F840D3">
        <w:rPr>
          <w:rFonts w:ascii="Segoe UI" w:hAnsi="Segoe UI" w:cs="Segoe UI"/>
        </w:rPr>
        <w:t xml:space="preserve"> Texas oilman</w:t>
      </w:r>
      <w:r>
        <w:rPr>
          <w:rFonts w:ascii="Segoe UI" w:hAnsi="Segoe UI" w:cs="Segoe UI"/>
        </w:rPr>
        <w:t>. Instead of him jumping in headfirst, we were tasked to create an in-depth cash flow summary model based on a given scenario</w:t>
      </w:r>
      <w:r w:rsidR="00F840D3">
        <w:rPr>
          <w:rFonts w:ascii="Segoe UI" w:hAnsi="Segoe UI" w:cs="Segoe UI"/>
        </w:rPr>
        <w:t xml:space="preserve"> and current oil trends</w:t>
      </w:r>
      <w:r>
        <w:rPr>
          <w:rFonts w:ascii="Segoe UI" w:hAnsi="Segoe UI" w:cs="Segoe UI"/>
        </w:rPr>
        <w:t xml:space="preserve">. On top of that, the wealthy investor tasked us with using the model to predict the value of his potential investment in eight possible investment scenarios. The following report is a detailed summary of the data that our team gathered. </w:t>
      </w:r>
    </w:p>
    <w:p w:rsidR="00EB10FC" w:rsidRDefault="00EB10FC" w:rsidP="007511E3">
      <w:pPr>
        <w:spacing w:line="276" w:lineRule="auto"/>
        <w:rPr>
          <w:rFonts w:ascii="Segoe UI" w:hAnsi="Segoe UI" w:cs="Segoe UI"/>
        </w:rPr>
      </w:pPr>
      <w:r>
        <w:rPr>
          <w:rFonts w:ascii="Segoe UI" w:hAnsi="Segoe UI" w:cs="Segoe UI"/>
        </w:rPr>
        <w:tab/>
        <w:t>The following scenario conditions were given to us by the investor, were tested using our cash flow model, and the data was recording a scenario summary.</w:t>
      </w:r>
      <w:r w:rsidR="0013257C">
        <w:rPr>
          <w:rFonts w:ascii="Segoe UI" w:hAnsi="Segoe UI" w:cs="Segoe UI"/>
        </w:rPr>
        <w:t xml:space="preserve"> “His” denotes the Texas oilman’s requested investment, and “Yours” denotes the wealthy investor</w:t>
      </w:r>
      <w:r w:rsidR="007A2D0F">
        <w:rPr>
          <w:rFonts w:ascii="Segoe UI" w:hAnsi="Segoe UI" w:cs="Segoe UI"/>
        </w:rPr>
        <w:t>’</w:t>
      </w:r>
      <w:r w:rsidR="0013257C">
        <w:rPr>
          <w:rFonts w:ascii="Segoe UI" w:hAnsi="Segoe UI" w:cs="Segoe UI"/>
        </w:rPr>
        <w:t>s offer</w:t>
      </w:r>
      <w:r w:rsidR="00F840D3">
        <w:rPr>
          <w:rFonts w:ascii="Segoe UI" w:hAnsi="Segoe UI" w:cs="Segoe UI"/>
        </w:rPr>
        <w:t xml:space="preserve"> for the oilman</w:t>
      </w:r>
      <w:r w:rsidR="0013257C">
        <w:rPr>
          <w:rFonts w:ascii="Segoe UI" w:hAnsi="Segoe UI" w:cs="Segoe UI"/>
        </w:rPr>
        <w:t>.</w:t>
      </w:r>
      <w:r>
        <w:rPr>
          <w:rFonts w:ascii="Segoe UI" w:hAnsi="Segoe UI" w:cs="Segoe UI"/>
        </w:rPr>
        <w:t xml:space="preserve"> The scenarios are as follows:</w:t>
      </w:r>
    </w:p>
    <w:p w:rsidR="00EB10FC" w:rsidRDefault="00EB10FC" w:rsidP="00EB10FC">
      <w:pPr>
        <w:pStyle w:val="ListParagraph"/>
        <w:numPr>
          <w:ilvl w:val="0"/>
          <w:numId w:val="1"/>
        </w:numPr>
        <w:spacing w:line="276" w:lineRule="auto"/>
        <w:rPr>
          <w:rFonts w:ascii="Segoe UI" w:hAnsi="Segoe UI" w:cs="Segoe UI"/>
        </w:rPr>
      </w:pPr>
      <w:r>
        <w:rPr>
          <w:rFonts w:ascii="Segoe UI" w:hAnsi="Segoe UI" w:cs="Segoe UI"/>
        </w:rPr>
        <w:t xml:space="preserve">His 50—The investment is </w:t>
      </w:r>
      <w:r w:rsidR="0013257C">
        <w:rPr>
          <w:rFonts w:ascii="Segoe UI" w:hAnsi="Segoe UI" w:cs="Segoe UI"/>
        </w:rPr>
        <w:t>$10 million, the price per barrel is $50, and the interest rate is 4 percent each year from 2017 to 2024.</w:t>
      </w:r>
    </w:p>
    <w:p w:rsidR="0013257C" w:rsidRDefault="0013257C" w:rsidP="0013257C">
      <w:pPr>
        <w:pStyle w:val="ListParagraph"/>
        <w:numPr>
          <w:ilvl w:val="0"/>
          <w:numId w:val="1"/>
        </w:numPr>
        <w:spacing w:line="276" w:lineRule="auto"/>
        <w:rPr>
          <w:rFonts w:ascii="Segoe UI" w:hAnsi="Segoe UI" w:cs="Segoe UI"/>
        </w:rPr>
      </w:pPr>
      <w:r>
        <w:rPr>
          <w:rFonts w:ascii="Segoe UI" w:hAnsi="Segoe UI" w:cs="Segoe UI"/>
        </w:rPr>
        <w:t>His 70—The investment is $10 million, the price per barrel is $70, and the interest rate is 4 percent each year from 2017 to 2024.</w:t>
      </w:r>
    </w:p>
    <w:p w:rsidR="0013257C" w:rsidRDefault="0013257C" w:rsidP="0013257C">
      <w:pPr>
        <w:pStyle w:val="ListParagraph"/>
        <w:numPr>
          <w:ilvl w:val="0"/>
          <w:numId w:val="1"/>
        </w:numPr>
        <w:spacing w:line="276" w:lineRule="auto"/>
        <w:rPr>
          <w:rFonts w:ascii="Segoe UI" w:hAnsi="Segoe UI" w:cs="Segoe UI"/>
        </w:rPr>
      </w:pPr>
      <w:r>
        <w:rPr>
          <w:rFonts w:ascii="Segoe UI" w:hAnsi="Segoe UI" w:cs="Segoe UI"/>
        </w:rPr>
        <w:t>His 90—The investment is $10 million, the price per barrel is $90, and the interest rate is 4 percent each year from 2017 to 2024.</w:t>
      </w:r>
    </w:p>
    <w:p w:rsidR="0013257C" w:rsidRDefault="0013257C" w:rsidP="0013257C">
      <w:pPr>
        <w:pStyle w:val="ListParagraph"/>
        <w:numPr>
          <w:ilvl w:val="0"/>
          <w:numId w:val="1"/>
        </w:numPr>
        <w:spacing w:line="276" w:lineRule="auto"/>
        <w:rPr>
          <w:rFonts w:ascii="Segoe UI" w:hAnsi="Segoe UI" w:cs="Segoe UI"/>
        </w:rPr>
      </w:pPr>
      <w:r>
        <w:rPr>
          <w:rFonts w:ascii="Segoe UI" w:hAnsi="Segoe UI" w:cs="Segoe UI"/>
        </w:rPr>
        <w:t>His 110—The investment is $10 million, the price per barrel is $110, and the interest rate is 4 percent each year from 2017 to 2024.</w:t>
      </w:r>
    </w:p>
    <w:p w:rsidR="0013257C" w:rsidRDefault="0013257C" w:rsidP="0013257C">
      <w:pPr>
        <w:pStyle w:val="ListParagraph"/>
        <w:numPr>
          <w:ilvl w:val="0"/>
          <w:numId w:val="1"/>
        </w:numPr>
        <w:spacing w:line="276" w:lineRule="auto"/>
        <w:rPr>
          <w:rFonts w:ascii="Segoe UI" w:hAnsi="Segoe UI" w:cs="Segoe UI"/>
        </w:rPr>
      </w:pPr>
      <w:r>
        <w:rPr>
          <w:rFonts w:ascii="Segoe UI" w:hAnsi="Segoe UI" w:cs="Segoe UI"/>
        </w:rPr>
        <w:t>Yours 50—The investment is $10 million, the price per barrel is $50, and the interest rate is 4 percent each year from 2017 to 2024.</w:t>
      </w:r>
    </w:p>
    <w:p w:rsidR="0013257C" w:rsidRDefault="0013257C" w:rsidP="0013257C">
      <w:pPr>
        <w:pStyle w:val="ListParagraph"/>
        <w:numPr>
          <w:ilvl w:val="0"/>
          <w:numId w:val="1"/>
        </w:numPr>
        <w:spacing w:line="276" w:lineRule="auto"/>
        <w:rPr>
          <w:rFonts w:ascii="Segoe UI" w:hAnsi="Segoe UI" w:cs="Segoe UI"/>
        </w:rPr>
      </w:pPr>
      <w:r>
        <w:rPr>
          <w:rFonts w:ascii="Segoe UI" w:hAnsi="Segoe UI" w:cs="Segoe UI"/>
        </w:rPr>
        <w:t>Yours 70—The investment is $10 million, the price per barrel is $70, and the interest rate is 4 percent each year from 2017 to 2024.</w:t>
      </w:r>
    </w:p>
    <w:p w:rsidR="0013257C" w:rsidRDefault="0013257C" w:rsidP="0013257C">
      <w:pPr>
        <w:pStyle w:val="ListParagraph"/>
        <w:numPr>
          <w:ilvl w:val="0"/>
          <w:numId w:val="1"/>
        </w:numPr>
        <w:spacing w:line="276" w:lineRule="auto"/>
        <w:rPr>
          <w:rFonts w:ascii="Segoe UI" w:hAnsi="Segoe UI" w:cs="Segoe UI"/>
        </w:rPr>
      </w:pPr>
      <w:r>
        <w:rPr>
          <w:rFonts w:ascii="Segoe UI" w:hAnsi="Segoe UI" w:cs="Segoe UI"/>
        </w:rPr>
        <w:t>Yours 90—The investment is $10 million, the price per barrel is $90, and the interest rate is 4 percent each year from 2017 to 2024.</w:t>
      </w:r>
    </w:p>
    <w:p w:rsidR="0013257C" w:rsidRDefault="0013257C" w:rsidP="0013257C">
      <w:pPr>
        <w:pStyle w:val="ListParagraph"/>
        <w:numPr>
          <w:ilvl w:val="0"/>
          <w:numId w:val="1"/>
        </w:numPr>
        <w:spacing w:line="276" w:lineRule="auto"/>
        <w:rPr>
          <w:rFonts w:ascii="Segoe UI" w:hAnsi="Segoe UI" w:cs="Segoe UI"/>
        </w:rPr>
      </w:pPr>
      <w:r>
        <w:rPr>
          <w:rFonts w:ascii="Segoe UI" w:hAnsi="Segoe UI" w:cs="Segoe UI"/>
        </w:rPr>
        <w:t>Yours 110—The investment is $10 million, the price per barrel is $110, and the interest rate is 4 percent each year from 2017 to 2024.</w:t>
      </w:r>
    </w:p>
    <w:p w:rsidR="00F840D3" w:rsidRDefault="00F840D3" w:rsidP="00C14CBB">
      <w:pPr>
        <w:pStyle w:val="ListParagraph"/>
        <w:spacing w:after="0" w:line="276" w:lineRule="auto"/>
        <w:rPr>
          <w:rFonts w:ascii="Segoe UI" w:hAnsi="Segoe UI" w:cs="Segoe UI"/>
        </w:rPr>
      </w:pPr>
    </w:p>
    <w:p w:rsidR="00F840D3" w:rsidRDefault="007A2D0F" w:rsidP="00C14CBB">
      <w:pPr>
        <w:spacing w:after="0" w:line="276" w:lineRule="auto"/>
        <w:ind w:firstLine="360"/>
        <w:rPr>
          <w:rFonts w:ascii="Segoe UI" w:hAnsi="Segoe UI" w:cs="Segoe UI"/>
        </w:rPr>
      </w:pPr>
      <w:r>
        <w:rPr>
          <w:rFonts w:ascii="Segoe UI" w:hAnsi="Segoe UI" w:cs="Segoe UI"/>
        </w:rPr>
        <w:t>The investor instructed the team</w:t>
      </w:r>
      <w:r w:rsidR="00F840D3" w:rsidRPr="007A2D0F">
        <w:rPr>
          <w:rFonts w:ascii="Segoe UI" w:hAnsi="Segoe UI" w:cs="Segoe UI"/>
        </w:rPr>
        <w:t xml:space="preserve"> to determine if any of these given scenarios would yield</w:t>
      </w:r>
      <w:r>
        <w:rPr>
          <w:rFonts w:ascii="Segoe UI" w:hAnsi="Segoe UI" w:cs="Segoe UI"/>
        </w:rPr>
        <w:t xml:space="preserve"> a </w:t>
      </w:r>
      <w:r w:rsidRPr="007A2D0F">
        <w:rPr>
          <w:rFonts w:ascii="Segoe UI" w:hAnsi="Segoe UI" w:cs="Segoe UI"/>
        </w:rPr>
        <w:t>Net</w:t>
      </w:r>
      <w:r w:rsidR="00F840D3" w:rsidRPr="007A2D0F">
        <w:rPr>
          <w:rFonts w:ascii="Segoe UI" w:hAnsi="Segoe UI" w:cs="Segoe UI"/>
        </w:rPr>
        <w:t xml:space="preserve"> Present Value (NPV)</w:t>
      </w:r>
      <w:r>
        <w:rPr>
          <w:rFonts w:ascii="Segoe UI" w:hAnsi="Segoe UI" w:cs="Segoe UI"/>
        </w:rPr>
        <w:t xml:space="preserve"> of -$100,000 or greater</w:t>
      </w:r>
      <w:r w:rsidR="00F840D3" w:rsidRPr="007A2D0F">
        <w:rPr>
          <w:rFonts w:ascii="Segoe UI" w:hAnsi="Segoe UI" w:cs="Segoe UI"/>
        </w:rPr>
        <w:t xml:space="preserve"> and would account for a 15% discount</w:t>
      </w:r>
      <w:r>
        <w:rPr>
          <w:rFonts w:ascii="Segoe UI" w:hAnsi="Segoe UI" w:cs="Segoe UI"/>
        </w:rPr>
        <w:t>. After building a cash-flow model and using Excel’s scenario manager, it was determined that only three of the eight given scenarios would yield an NPV that the investor would consider acceptable: scenarios 4, 7 and 8. Scenario 4 yielded a negative NPV of -$60,661, while scenarios 7 and 8 yielded much greater NPVs of +$2,2</w:t>
      </w:r>
      <w:r w:rsidR="0009206F">
        <w:rPr>
          <w:rFonts w:ascii="Segoe UI" w:hAnsi="Segoe UI" w:cs="Segoe UI"/>
        </w:rPr>
        <w:t xml:space="preserve">90,299 and +$4,939,339 respectively. </w:t>
      </w:r>
      <w:r w:rsidR="00603A71">
        <w:rPr>
          <w:rFonts w:ascii="Segoe UI" w:hAnsi="Segoe UI" w:cs="Segoe UI"/>
        </w:rPr>
        <w:t>Per</w:t>
      </w:r>
      <w:r w:rsidR="0009206F">
        <w:rPr>
          <w:rFonts w:ascii="Segoe UI" w:hAnsi="Segoe UI" w:cs="Segoe UI"/>
        </w:rPr>
        <w:t xml:space="preserve"> the investor, the results of scenario 4 would represent a “break-even proposition”, where there are </w:t>
      </w:r>
      <w:r w:rsidR="0009206F">
        <w:rPr>
          <w:rFonts w:ascii="Segoe UI" w:hAnsi="Segoe UI" w:cs="Segoe UI"/>
        </w:rPr>
        <w:lastRenderedPageBreak/>
        <w:t xml:space="preserve">no monetary gains or losses. However, scenarios 7 and 8 represent good investments with a high potential profit. </w:t>
      </w:r>
    </w:p>
    <w:p w:rsidR="0009206F" w:rsidRDefault="0009206F" w:rsidP="007A2D0F">
      <w:pPr>
        <w:spacing w:line="276" w:lineRule="auto"/>
        <w:ind w:firstLine="360"/>
        <w:rPr>
          <w:rFonts w:ascii="Segoe UI" w:hAnsi="Segoe UI" w:cs="Segoe UI"/>
        </w:rPr>
      </w:pPr>
      <w:r>
        <w:rPr>
          <w:rFonts w:ascii="Segoe UI" w:hAnsi="Segoe UI" w:cs="Segoe UI"/>
        </w:rPr>
        <w:t>Scenarios 2,3,5, and 6 all yielded results with very low negative NPVs, making them terrible investment scenarios. The results of each scenario are recorded in the following table:</w:t>
      </w:r>
    </w:p>
    <w:tbl>
      <w:tblPr>
        <w:tblStyle w:val="TableGrid"/>
        <w:tblW w:w="0" w:type="auto"/>
        <w:tblLook w:val="04A0" w:firstRow="1" w:lastRow="0" w:firstColumn="1" w:lastColumn="0" w:noHBand="0" w:noVBand="1"/>
      </w:tblPr>
      <w:tblGrid>
        <w:gridCol w:w="1870"/>
        <w:gridCol w:w="1870"/>
        <w:gridCol w:w="1870"/>
        <w:gridCol w:w="1870"/>
        <w:gridCol w:w="1870"/>
      </w:tblGrid>
      <w:tr w:rsidR="0009206F" w:rsidTr="00E901E6">
        <w:tc>
          <w:tcPr>
            <w:tcW w:w="1870" w:type="dxa"/>
            <w:shd w:val="clear" w:color="auto" w:fill="9CC2E5" w:themeFill="accent1" w:themeFillTint="99"/>
          </w:tcPr>
          <w:p w:rsidR="0009206F" w:rsidRDefault="0009206F" w:rsidP="007A2D0F">
            <w:pPr>
              <w:spacing w:line="276" w:lineRule="auto"/>
              <w:rPr>
                <w:rFonts w:ascii="Segoe UI" w:hAnsi="Segoe UI" w:cs="Segoe UI"/>
              </w:rPr>
            </w:pPr>
            <w:r>
              <w:rPr>
                <w:rFonts w:ascii="Segoe UI" w:hAnsi="Segoe UI" w:cs="Segoe UI"/>
              </w:rPr>
              <w:t>Scenario</w:t>
            </w:r>
          </w:p>
        </w:tc>
        <w:tc>
          <w:tcPr>
            <w:tcW w:w="1870" w:type="dxa"/>
            <w:shd w:val="clear" w:color="auto" w:fill="9CC2E5" w:themeFill="accent1" w:themeFillTint="99"/>
          </w:tcPr>
          <w:p w:rsidR="0009206F" w:rsidRDefault="0009206F" w:rsidP="007A2D0F">
            <w:pPr>
              <w:spacing w:line="276" w:lineRule="auto"/>
              <w:rPr>
                <w:rFonts w:ascii="Segoe UI" w:hAnsi="Segoe UI" w:cs="Segoe UI"/>
              </w:rPr>
            </w:pPr>
            <w:r>
              <w:rPr>
                <w:rFonts w:ascii="Segoe UI" w:hAnsi="Segoe UI" w:cs="Segoe UI"/>
              </w:rPr>
              <w:t>Investment</w:t>
            </w:r>
          </w:p>
        </w:tc>
        <w:tc>
          <w:tcPr>
            <w:tcW w:w="1870" w:type="dxa"/>
            <w:shd w:val="clear" w:color="auto" w:fill="9CC2E5" w:themeFill="accent1" w:themeFillTint="99"/>
          </w:tcPr>
          <w:p w:rsidR="0009206F" w:rsidRDefault="0009206F" w:rsidP="007A2D0F">
            <w:pPr>
              <w:spacing w:line="276" w:lineRule="auto"/>
              <w:rPr>
                <w:rFonts w:ascii="Segoe UI" w:hAnsi="Segoe UI" w:cs="Segoe UI"/>
              </w:rPr>
            </w:pPr>
            <w:r>
              <w:rPr>
                <w:rFonts w:ascii="Segoe UI" w:hAnsi="Segoe UI" w:cs="Segoe UI"/>
              </w:rPr>
              <w:t>Oil Price</w:t>
            </w:r>
          </w:p>
        </w:tc>
        <w:tc>
          <w:tcPr>
            <w:tcW w:w="1870" w:type="dxa"/>
            <w:shd w:val="clear" w:color="auto" w:fill="9CC2E5" w:themeFill="accent1" w:themeFillTint="99"/>
          </w:tcPr>
          <w:p w:rsidR="0009206F" w:rsidRDefault="0009206F" w:rsidP="007A2D0F">
            <w:pPr>
              <w:spacing w:line="276" w:lineRule="auto"/>
              <w:rPr>
                <w:rFonts w:ascii="Segoe UI" w:hAnsi="Segoe UI" w:cs="Segoe UI"/>
              </w:rPr>
            </w:pPr>
            <w:r>
              <w:rPr>
                <w:rFonts w:ascii="Segoe UI" w:hAnsi="Segoe UI" w:cs="Segoe UI"/>
              </w:rPr>
              <w:t>Interest Rate</w:t>
            </w:r>
          </w:p>
        </w:tc>
        <w:tc>
          <w:tcPr>
            <w:tcW w:w="1870" w:type="dxa"/>
            <w:shd w:val="clear" w:color="auto" w:fill="9CC2E5" w:themeFill="accent1" w:themeFillTint="99"/>
          </w:tcPr>
          <w:p w:rsidR="0009206F" w:rsidRDefault="0009206F" w:rsidP="007A2D0F">
            <w:pPr>
              <w:spacing w:line="276" w:lineRule="auto"/>
              <w:rPr>
                <w:rFonts w:ascii="Segoe UI" w:hAnsi="Segoe UI" w:cs="Segoe UI"/>
              </w:rPr>
            </w:pPr>
            <w:r>
              <w:rPr>
                <w:rFonts w:ascii="Segoe UI" w:hAnsi="Segoe UI" w:cs="Segoe UI"/>
              </w:rPr>
              <w:t>NPV @ 15%</w:t>
            </w:r>
          </w:p>
        </w:tc>
      </w:tr>
      <w:tr w:rsidR="0009206F" w:rsidTr="0009206F">
        <w:tc>
          <w:tcPr>
            <w:tcW w:w="1870" w:type="dxa"/>
          </w:tcPr>
          <w:p w:rsidR="0009206F" w:rsidRDefault="0009206F" w:rsidP="007A2D0F">
            <w:pPr>
              <w:spacing w:line="276" w:lineRule="auto"/>
              <w:rPr>
                <w:rFonts w:ascii="Segoe UI" w:hAnsi="Segoe UI" w:cs="Segoe UI"/>
              </w:rPr>
            </w:pPr>
            <w:r>
              <w:rPr>
                <w:rFonts w:ascii="Segoe UI" w:hAnsi="Segoe UI" w:cs="Segoe UI"/>
              </w:rPr>
              <w:t>His 50</w:t>
            </w:r>
          </w:p>
        </w:tc>
        <w:tc>
          <w:tcPr>
            <w:tcW w:w="1870" w:type="dxa"/>
          </w:tcPr>
          <w:p w:rsidR="0009206F" w:rsidRDefault="0009206F" w:rsidP="007A2D0F">
            <w:pPr>
              <w:spacing w:line="276" w:lineRule="auto"/>
              <w:rPr>
                <w:rFonts w:ascii="Segoe UI" w:hAnsi="Segoe UI" w:cs="Segoe UI"/>
              </w:rPr>
            </w:pPr>
            <w:r>
              <w:rPr>
                <w:rFonts w:ascii="Segoe UI" w:hAnsi="Segoe UI" w:cs="Segoe UI"/>
              </w:rPr>
              <w:t>$10,000,000</w:t>
            </w:r>
          </w:p>
        </w:tc>
        <w:tc>
          <w:tcPr>
            <w:tcW w:w="1870" w:type="dxa"/>
          </w:tcPr>
          <w:p w:rsidR="0009206F" w:rsidRDefault="0009206F" w:rsidP="007A2D0F">
            <w:pPr>
              <w:spacing w:line="276" w:lineRule="auto"/>
              <w:rPr>
                <w:rFonts w:ascii="Segoe UI" w:hAnsi="Segoe UI" w:cs="Segoe UI"/>
              </w:rPr>
            </w:pPr>
            <w:r>
              <w:rPr>
                <w:rFonts w:ascii="Segoe UI" w:hAnsi="Segoe UI" w:cs="Segoe UI"/>
              </w:rPr>
              <w:t>$50</w:t>
            </w:r>
          </w:p>
        </w:tc>
        <w:tc>
          <w:tcPr>
            <w:tcW w:w="1870" w:type="dxa"/>
          </w:tcPr>
          <w:p w:rsidR="0009206F" w:rsidRDefault="0009206F" w:rsidP="007A2D0F">
            <w:pPr>
              <w:spacing w:line="276" w:lineRule="auto"/>
              <w:rPr>
                <w:rFonts w:ascii="Segoe UI" w:hAnsi="Segoe UI" w:cs="Segoe UI"/>
              </w:rPr>
            </w:pPr>
            <w:r>
              <w:rPr>
                <w:rFonts w:ascii="Segoe UI" w:hAnsi="Segoe UI" w:cs="Segoe UI"/>
              </w:rPr>
              <w:t>4%</w:t>
            </w:r>
          </w:p>
        </w:tc>
        <w:tc>
          <w:tcPr>
            <w:tcW w:w="1870" w:type="dxa"/>
          </w:tcPr>
          <w:p w:rsidR="0009206F" w:rsidRDefault="0009206F" w:rsidP="007A2D0F">
            <w:pPr>
              <w:spacing w:line="276" w:lineRule="auto"/>
              <w:rPr>
                <w:rFonts w:ascii="Segoe UI" w:hAnsi="Segoe UI" w:cs="Segoe UI"/>
              </w:rPr>
            </w:pPr>
            <w:r>
              <w:rPr>
                <w:rFonts w:ascii="Segoe UI" w:hAnsi="Segoe UI" w:cs="Segoe UI"/>
              </w:rPr>
              <w:t>$(8,083,588)</w:t>
            </w:r>
          </w:p>
        </w:tc>
      </w:tr>
      <w:tr w:rsidR="0009206F" w:rsidTr="0009206F">
        <w:tc>
          <w:tcPr>
            <w:tcW w:w="1870" w:type="dxa"/>
          </w:tcPr>
          <w:p w:rsidR="0009206F" w:rsidRDefault="0009206F" w:rsidP="007A2D0F">
            <w:pPr>
              <w:spacing w:line="276" w:lineRule="auto"/>
              <w:rPr>
                <w:rFonts w:ascii="Segoe UI" w:hAnsi="Segoe UI" w:cs="Segoe UI"/>
              </w:rPr>
            </w:pPr>
            <w:r>
              <w:rPr>
                <w:rFonts w:ascii="Segoe UI" w:hAnsi="Segoe UI" w:cs="Segoe UI"/>
              </w:rPr>
              <w:t>His 70</w:t>
            </w:r>
          </w:p>
        </w:tc>
        <w:tc>
          <w:tcPr>
            <w:tcW w:w="1870" w:type="dxa"/>
          </w:tcPr>
          <w:p w:rsidR="0009206F" w:rsidRDefault="0009206F" w:rsidP="007A2D0F">
            <w:pPr>
              <w:spacing w:line="276" w:lineRule="auto"/>
              <w:rPr>
                <w:rFonts w:ascii="Segoe UI" w:hAnsi="Segoe UI" w:cs="Segoe UI"/>
              </w:rPr>
            </w:pPr>
            <w:r>
              <w:rPr>
                <w:rFonts w:ascii="Segoe UI" w:hAnsi="Segoe UI" w:cs="Segoe UI"/>
              </w:rPr>
              <w:t>$10,000,000</w:t>
            </w:r>
          </w:p>
        </w:tc>
        <w:tc>
          <w:tcPr>
            <w:tcW w:w="1870" w:type="dxa"/>
          </w:tcPr>
          <w:p w:rsidR="0009206F" w:rsidRDefault="0009206F" w:rsidP="007A2D0F">
            <w:pPr>
              <w:spacing w:line="276" w:lineRule="auto"/>
              <w:rPr>
                <w:rFonts w:ascii="Segoe UI" w:hAnsi="Segoe UI" w:cs="Segoe UI"/>
              </w:rPr>
            </w:pPr>
            <w:r>
              <w:rPr>
                <w:rFonts w:ascii="Segoe UI" w:hAnsi="Segoe UI" w:cs="Segoe UI"/>
              </w:rPr>
              <w:t>$70</w:t>
            </w:r>
          </w:p>
        </w:tc>
        <w:tc>
          <w:tcPr>
            <w:tcW w:w="1870" w:type="dxa"/>
          </w:tcPr>
          <w:p w:rsidR="0009206F" w:rsidRDefault="0009206F" w:rsidP="007A2D0F">
            <w:pPr>
              <w:spacing w:line="276" w:lineRule="auto"/>
              <w:rPr>
                <w:rFonts w:ascii="Segoe UI" w:hAnsi="Segoe UI" w:cs="Segoe UI"/>
              </w:rPr>
            </w:pPr>
            <w:r>
              <w:rPr>
                <w:rFonts w:ascii="Segoe UI" w:hAnsi="Segoe UI" w:cs="Segoe UI"/>
              </w:rPr>
              <w:t>4%</w:t>
            </w:r>
          </w:p>
        </w:tc>
        <w:tc>
          <w:tcPr>
            <w:tcW w:w="1870" w:type="dxa"/>
          </w:tcPr>
          <w:p w:rsidR="0009206F" w:rsidRDefault="0009206F" w:rsidP="007A2D0F">
            <w:pPr>
              <w:spacing w:line="276" w:lineRule="auto"/>
              <w:rPr>
                <w:rFonts w:ascii="Segoe UI" w:hAnsi="Segoe UI" w:cs="Segoe UI"/>
              </w:rPr>
            </w:pPr>
            <w:r>
              <w:rPr>
                <w:rFonts w:ascii="Segoe UI" w:hAnsi="Segoe UI" w:cs="Segoe UI"/>
              </w:rPr>
              <w:t>$(5,375,756)</w:t>
            </w:r>
          </w:p>
        </w:tc>
      </w:tr>
      <w:tr w:rsidR="0009206F" w:rsidTr="0009206F">
        <w:tc>
          <w:tcPr>
            <w:tcW w:w="1870" w:type="dxa"/>
          </w:tcPr>
          <w:p w:rsidR="0009206F" w:rsidRDefault="0009206F" w:rsidP="007A2D0F">
            <w:pPr>
              <w:spacing w:line="276" w:lineRule="auto"/>
              <w:rPr>
                <w:rFonts w:ascii="Segoe UI" w:hAnsi="Segoe UI" w:cs="Segoe UI"/>
              </w:rPr>
            </w:pPr>
            <w:r>
              <w:rPr>
                <w:rFonts w:ascii="Segoe UI" w:hAnsi="Segoe UI" w:cs="Segoe UI"/>
              </w:rPr>
              <w:t>His 90</w:t>
            </w:r>
          </w:p>
        </w:tc>
        <w:tc>
          <w:tcPr>
            <w:tcW w:w="1870" w:type="dxa"/>
          </w:tcPr>
          <w:p w:rsidR="0009206F" w:rsidRDefault="0009206F" w:rsidP="007A2D0F">
            <w:pPr>
              <w:spacing w:line="276" w:lineRule="auto"/>
              <w:rPr>
                <w:rFonts w:ascii="Segoe UI" w:hAnsi="Segoe UI" w:cs="Segoe UI"/>
              </w:rPr>
            </w:pPr>
            <w:r>
              <w:rPr>
                <w:rFonts w:ascii="Segoe UI" w:hAnsi="Segoe UI" w:cs="Segoe UI"/>
              </w:rPr>
              <w:t>$10,000,000</w:t>
            </w:r>
          </w:p>
        </w:tc>
        <w:tc>
          <w:tcPr>
            <w:tcW w:w="1870" w:type="dxa"/>
          </w:tcPr>
          <w:p w:rsidR="0009206F" w:rsidRDefault="0009206F" w:rsidP="007A2D0F">
            <w:pPr>
              <w:spacing w:line="276" w:lineRule="auto"/>
              <w:rPr>
                <w:rFonts w:ascii="Segoe UI" w:hAnsi="Segoe UI" w:cs="Segoe UI"/>
              </w:rPr>
            </w:pPr>
            <w:r>
              <w:rPr>
                <w:rFonts w:ascii="Segoe UI" w:hAnsi="Segoe UI" w:cs="Segoe UI"/>
              </w:rPr>
              <w:t>$90</w:t>
            </w:r>
          </w:p>
        </w:tc>
        <w:tc>
          <w:tcPr>
            <w:tcW w:w="1870" w:type="dxa"/>
          </w:tcPr>
          <w:p w:rsidR="0009206F" w:rsidRDefault="0009206F" w:rsidP="007A2D0F">
            <w:pPr>
              <w:spacing w:line="276" w:lineRule="auto"/>
              <w:rPr>
                <w:rFonts w:ascii="Segoe UI" w:hAnsi="Segoe UI" w:cs="Segoe UI"/>
              </w:rPr>
            </w:pPr>
            <w:r>
              <w:rPr>
                <w:rFonts w:ascii="Segoe UI" w:hAnsi="Segoe UI" w:cs="Segoe UI"/>
              </w:rPr>
              <w:t>4%</w:t>
            </w:r>
          </w:p>
        </w:tc>
        <w:tc>
          <w:tcPr>
            <w:tcW w:w="1870" w:type="dxa"/>
          </w:tcPr>
          <w:p w:rsidR="0009206F" w:rsidRDefault="0009206F" w:rsidP="007A2D0F">
            <w:pPr>
              <w:spacing w:line="276" w:lineRule="auto"/>
              <w:rPr>
                <w:rFonts w:ascii="Segoe UI" w:hAnsi="Segoe UI" w:cs="Segoe UI"/>
              </w:rPr>
            </w:pPr>
            <w:r>
              <w:rPr>
                <w:rFonts w:ascii="Segoe UI" w:hAnsi="Segoe UI" w:cs="Segoe UI"/>
              </w:rPr>
              <w:t>$(2,709,701)</w:t>
            </w:r>
          </w:p>
        </w:tc>
      </w:tr>
      <w:tr w:rsidR="0009206F" w:rsidTr="00E901E6">
        <w:tc>
          <w:tcPr>
            <w:tcW w:w="1870" w:type="dxa"/>
            <w:shd w:val="clear" w:color="auto" w:fill="FFC000"/>
          </w:tcPr>
          <w:p w:rsidR="0009206F" w:rsidRDefault="0009206F" w:rsidP="007A2D0F">
            <w:pPr>
              <w:spacing w:line="276" w:lineRule="auto"/>
              <w:rPr>
                <w:rFonts w:ascii="Segoe UI" w:hAnsi="Segoe UI" w:cs="Segoe UI"/>
              </w:rPr>
            </w:pPr>
            <w:r>
              <w:rPr>
                <w:rFonts w:ascii="Segoe UI" w:hAnsi="Segoe UI" w:cs="Segoe UI"/>
              </w:rPr>
              <w:t>His 110</w:t>
            </w:r>
          </w:p>
        </w:tc>
        <w:tc>
          <w:tcPr>
            <w:tcW w:w="1870" w:type="dxa"/>
          </w:tcPr>
          <w:p w:rsidR="0009206F" w:rsidRDefault="0009206F" w:rsidP="007A2D0F">
            <w:pPr>
              <w:spacing w:line="276" w:lineRule="auto"/>
              <w:rPr>
                <w:rFonts w:ascii="Segoe UI" w:hAnsi="Segoe UI" w:cs="Segoe UI"/>
              </w:rPr>
            </w:pPr>
            <w:r>
              <w:rPr>
                <w:rFonts w:ascii="Segoe UI" w:hAnsi="Segoe UI" w:cs="Segoe UI"/>
              </w:rPr>
              <w:t>$10,000,000</w:t>
            </w:r>
          </w:p>
        </w:tc>
        <w:tc>
          <w:tcPr>
            <w:tcW w:w="1870" w:type="dxa"/>
          </w:tcPr>
          <w:p w:rsidR="0009206F" w:rsidRDefault="0009206F" w:rsidP="007A2D0F">
            <w:pPr>
              <w:spacing w:line="276" w:lineRule="auto"/>
              <w:rPr>
                <w:rFonts w:ascii="Segoe UI" w:hAnsi="Segoe UI" w:cs="Segoe UI"/>
              </w:rPr>
            </w:pPr>
            <w:r>
              <w:rPr>
                <w:rFonts w:ascii="Segoe UI" w:hAnsi="Segoe UI" w:cs="Segoe UI"/>
              </w:rPr>
              <w:t>$110</w:t>
            </w:r>
          </w:p>
        </w:tc>
        <w:tc>
          <w:tcPr>
            <w:tcW w:w="1870" w:type="dxa"/>
          </w:tcPr>
          <w:p w:rsidR="0009206F" w:rsidRDefault="0009206F" w:rsidP="007A2D0F">
            <w:pPr>
              <w:spacing w:line="276" w:lineRule="auto"/>
              <w:rPr>
                <w:rFonts w:ascii="Segoe UI" w:hAnsi="Segoe UI" w:cs="Segoe UI"/>
              </w:rPr>
            </w:pPr>
            <w:r>
              <w:rPr>
                <w:rFonts w:ascii="Segoe UI" w:hAnsi="Segoe UI" w:cs="Segoe UI"/>
              </w:rPr>
              <w:t>4%</w:t>
            </w:r>
          </w:p>
        </w:tc>
        <w:tc>
          <w:tcPr>
            <w:tcW w:w="1870" w:type="dxa"/>
            <w:shd w:val="clear" w:color="auto" w:fill="FFC000"/>
          </w:tcPr>
          <w:p w:rsidR="0009206F" w:rsidRDefault="0009206F" w:rsidP="007A2D0F">
            <w:pPr>
              <w:spacing w:line="276" w:lineRule="auto"/>
              <w:rPr>
                <w:rFonts w:ascii="Segoe UI" w:hAnsi="Segoe UI" w:cs="Segoe UI"/>
              </w:rPr>
            </w:pPr>
            <w:r>
              <w:rPr>
                <w:rFonts w:ascii="Segoe UI" w:hAnsi="Segoe UI" w:cs="Segoe UI"/>
              </w:rPr>
              <w:t>$(60,661)</w:t>
            </w:r>
          </w:p>
        </w:tc>
      </w:tr>
      <w:tr w:rsidR="0009206F" w:rsidTr="0009206F">
        <w:tc>
          <w:tcPr>
            <w:tcW w:w="1870" w:type="dxa"/>
          </w:tcPr>
          <w:p w:rsidR="0009206F" w:rsidRDefault="0009206F" w:rsidP="007A2D0F">
            <w:pPr>
              <w:spacing w:line="276" w:lineRule="auto"/>
              <w:rPr>
                <w:rFonts w:ascii="Segoe UI" w:hAnsi="Segoe UI" w:cs="Segoe UI"/>
              </w:rPr>
            </w:pPr>
            <w:r>
              <w:rPr>
                <w:rFonts w:ascii="Segoe UI" w:hAnsi="Segoe UI" w:cs="Segoe UI"/>
              </w:rPr>
              <w:t>Yours 50</w:t>
            </w:r>
          </w:p>
        </w:tc>
        <w:tc>
          <w:tcPr>
            <w:tcW w:w="1870" w:type="dxa"/>
          </w:tcPr>
          <w:p w:rsidR="0009206F" w:rsidRDefault="0009206F" w:rsidP="007A2D0F">
            <w:pPr>
              <w:spacing w:line="276" w:lineRule="auto"/>
              <w:rPr>
                <w:rFonts w:ascii="Segoe UI" w:hAnsi="Segoe UI" w:cs="Segoe UI"/>
              </w:rPr>
            </w:pPr>
            <w:r>
              <w:rPr>
                <w:rFonts w:ascii="Segoe UI" w:hAnsi="Segoe UI" w:cs="Segoe UI"/>
              </w:rPr>
              <w:t>$5,000,000</w:t>
            </w:r>
          </w:p>
        </w:tc>
        <w:tc>
          <w:tcPr>
            <w:tcW w:w="1870" w:type="dxa"/>
          </w:tcPr>
          <w:p w:rsidR="0009206F" w:rsidRDefault="0009206F" w:rsidP="007A2D0F">
            <w:pPr>
              <w:spacing w:line="276" w:lineRule="auto"/>
              <w:rPr>
                <w:rFonts w:ascii="Segoe UI" w:hAnsi="Segoe UI" w:cs="Segoe UI"/>
              </w:rPr>
            </w:pPr>
            <w:r>
              <w:rPr>
                <w:rFonts w:ascii="Segoe UI" w:hAnsi="Segoe UI" w:cs="Segoe UI"/>
              </w:rPr>
              <w:t>$50</w:t>
            </w:r>
          </w:p>
        </w:tc>
        <w:tc>
          <w:tcPr>
            <w:tcW w:w="1870" w:type="dxa"/>
          </w:tcPr>
          <w:p w:rsidR="0009206F" w:rsidRDefault="0009206F" w:rsidP="007A2D0F">
            <w:pPr>
              <w:spacing w:line="276" w:lineRule="auto"/>
              <w:rPr>
                <w:rFonts w:ascii="Segoe UI" w:hAnsi="Segoe UI" w:cs="Segoe UI"/>
              </w:rPr>
            </w:pPr>
            <w:r>
              <w:rPr>
                <w:rFonts w:ascii="Segoe UI" w:hAnsi="Segoe UI" w:cs="Segoe UI"/>
              </w:rPr>
              <w:t>4%</w:t>
            </w:r>
          </w:p>
        </w:tc>
        <w:tc>
          <w:tcPr>
            <w:tcW w:w="1870" w:type="dxa"/>
          </w:tcPr>
          <w:p w:rsidR="0009206F" w:rsidRDefault="0009206F" w:rsidP="007A2D0F">
            <w:pPr>
              <w:spacing w:line="276" w:lineRule="auto"/>
              <w:rPr>
                <w:rFonts w:ascii="Segoe UI" w:hAnsi="Segoe UI" w:cs="Segoe UI"/>
              </w:rPr>
            </w:pPr>
            <w:r>
              <w:rPr>
                <w:rFonts w:ascii="Segoe UI" w:hAnsi="Segoe UI" w:cs="Segoe UI"/>
              </w:rPr>
              <w:t>$</w:t>
            </w:r>
            <w:r w:rsidR="00E901E6">
              <w:rPr>
                <w:rFonts w:ascii="Segoe UI" w:hAnsi="Segoe UI" w:cs="Segoe UI"/>
              </w:rPr>
              <w:t>(3,083,588)</w:t>
            </w:r>
          </w:p>
        </w:tc>
      </w:tr>
      <w:tr w:rsidR="0009206F" w:rsidTr="0009206F">
        <w:tc>
          <w:tcPr>
            <w:tcW w:w="1870" w:type="dxa"/>
          </w:tcPr>
          <w:p w:rsidR="0009206F" w:rsidRDefault="00E901E6" w:rsidP="007A2D0F">
            <w:pPr>
              <w:spacing w:line="276" w:lineRule="auto"/>
              <w:rPr>
                <w:rFonts w:ascii="Segoe UI" w:hAnsi="Segoe UI" w:cs="Segoe UI"/>
              </w:rPr>
            </w:pPr>
            <w:r>
              <w:rPr>
                <w:rFonts w:ascii="Segoe UI" w:hAnsi="Segoe UI" w:cs="Segoe UI"/>
              </w:rPr>
              <w:t>Yours 70</w:t>
            </w:r>
          </w:p>
        </w:tc>
        <w:tc>
          <w:tcPr>
            <w:tcW w:w="1870" w:type="dxa"/>
          </w:tcPr>
          <w:p w:rsidR="0009206F" w:rsidRDefault="00E901E6" w:rsidP="007A2D0F">
            <w:pPr>
              <w:spacing w:line="276" w:lineRule="auto"/>
              <w:rPr>
                <w:rFonts w:ascii="Segoe UI" w:hAnsi="Segoe UI" w:cs="Segoe UI"/>
              </w:rPr>
            </w:pPr>
            <w:r>
              <w:rPr>
                <w:rFonts w:ascii="Segoe UI" w:hAnsi="Segoe UI" w:cs="Segoe UI"/>
              </w:rPr>
              <w:t>$5,000,000</w:t>
            </w:r>
          </w:p>
        </w:tc>
        <w:tc>
          <w:tcPr>
            <w:tcW w:w="1870" w:type="dxa"/>
          </w:tcPr>
          <w:p w:rsidR="0009206F" w:rsidRDefault="00E901E6" w:rsidP="007A2D0F">
            <w:pPr>
              <w:spacing w:line="276" w:lineRule="auto"/>
              <w:rPr>
                <w:rFonts w:ascii="Segoe UI" w:hAnsi="Segoe UI" w:cs="Segoe UI"/>
              </w:rPr>
            </w:pPr>
            <w:r>
              <w:rPr>
                <w:rFonts w:ascii="Segoe UI" w:hAnsi="Segoe UI" w:cs="Segoe UI"/>
              </w:rPr>
              <w:t>$70</w:t>
            </w:r>
          </w:p>
        </w:tc>
        <w:tc>
          <w:tcPr>
            <w:tcW w:w="1870" w:type="dxa"/>
          </w:tcPr>
          <w:p w:rsidR="0009206F" w:rsidRDefault="00E901E6" w:rsidP="007A2D0F">
            <w:pPr>
              <w:spacing w:line="276" w:lineRule="auto"/>
              <w:rPr>
                <w:rFonts w:ascii="Segoe UI" w:hAnsi="Segoe UI" w:cs="Segoe UI"/>
              </w:rPr>
            </w:pPr>
            <w:r>
              <w:rPr>
                <w:rFonts w:ascii="Segoe UI" w:hAnsi="Segoe UI" w:cs="Segoe UI"/>
              </w:rPr>
              <w:t>4%</w:t>
            </w:r>
          </w:p>
        </w:tc>
        <w:tc>
          <w:tcPr>
            <w:tcW w:w="1870" w:type="dxa"/>
          </w:tcPr>
          <w:p w:rsidR="0009206F" w:rsidRDefault="00E901E6" w:rsidP="007A2D0F">
            <w:pPr>
              <w:spacing w:line="276" w:lineRule="auto"/>
              <w:rPr>
                <w:rFonts w:ascii="Segoe UI" w:hAnsi="Segoe UI" w:cs="Segoe UI"/>
              </w:rPr>
            </w:pPr>
            <w:r>
              <w:rPr>
                <w:rFonts w:ascii="Segoe UI" w:hAnsi="Segoe UI" w:cs="Segoe UI"/>
              </w:rPr>
              <w:t>$(365,756)</w:t>
            </w:r>
          </w:p>
        </w:tc>
      </w:tr>
      <w:tr w:rsidR="0009206F" w:rsidTr="00E901E6">
        <w:tc>
          <w:tcPr>
            <w:tcW w:w="1870" w:type="dxa"/>
            <w:shd w:val="clear" w:color="auto" w:fill="92D050"/>
          </w:tcPr>
          <w:p w:rsidR="0009206F" w:rsidRDefault="00E901E6" w:rsidP="007A2D0F">
            <w:pPr>
              <w:spacing w:line="276" w:lineRule="auto"/>
              <w:rPr>
                <w:rFonts w:ascii="Segoe UI" w:hAnsi="Segoe UI" w:cs="Segoe UI"/>
              </w:rPr>
            </w:pPr>
            <w:r>
              <w:rPr>
                <w:rFonts w:ascii="Segoe UI" w:hAnsi="Segoe UI" w:cs="Segoe UI"/>
              </w:rPr>
              <w:t>Yours 90</w:t>
            </w:r>
          </w:p>
        </w:tc>
        <w:tc>
          <w:tcPr>
            <w:tcW w:w="1870" w:type="dxa"/>
          </w:tcPr>
          <w:p w:rsidR="0009206F" w:rsidRDefault="00E901E6" w:rsidP="007A2D0F">
            <w:pPr>
              <w:spacing w:line="276" w:lineRule="auto"/>
              <w:rPr>
                <w:rFonts w:ascii="Segoe UI" w:hAnsi="Segoe UI" w:cs="Segoe UI"/>
              </w:rPr>
            </w:pPr>
            <w:r>
              <w:rPr>
                <w:rFonts w:ascii="Segoe UI" w:hAnsi="Segoe UI" w:cs="Segoe UI"/>
              </w:rPr>
              <w:t>$5,000,000</w:t>
            </w:r>
          </w:p>
        </w:tc>
        <w:tc>
          <w:tcPr>
            <w:tcW w:w="1870" w:type="dxa"/>
          </w:tcPr>
          <w:p w:rsidR="0009206F" w:rsidRDefault="00E901E6" w:rsidP="007A2D0F">
            <w:pPr>
              <w:spacing w:line="276" w:lineRule="auto"/>
              <w:rPr>
                <w:rFonts w:ascii="Segoe UI" w:hAnsi="Segoe UI" w:cs="Segoe UI"/>
              </w:rPr>
            </w:pPr>
            <w:r>
              <w:rPr>
                <w:rFonts w:ascii="Segoe UI" w:hAnsi="Segoe UI" w:cs="Segoe UI"/>
              </w:rPr>
              <w:t>$90</w:t>
            </w:r>
          </w:p>
        </w:tc>
        <w:tc>
          <w:tcPr>
            <w:tcW w:w="1870" w:type="dxa"/>
          </w:tcPr>
          <w:p w:rsidR="0009206F" w:rsidRDefault="00E901E6" w:rsidP="007A2D0F">
            <w:pPr>
              <w:spacing w:line="276" w:lineRule="auto"/>
              <w:rPr>
                <w:rFonts w:ascii="Segoe UI" w:hAnsi="Segoe UI" w:cs="Segoe UI"/>
              </w:rPr>
            </w:pPr>
            <w:r>
              <w:rPr>
                <w:rFonts w:ascii="Segoe UI" w:hAnsi="Segoe UI" w:cs="Segoe UI"/>
              </w:rPr>
              <w:t>4%</w:t>
            </w:r>
          </w:p>
        </w:tc>
        <w:tc>
          <w:tcPr>
            <w:tcW w:w="1870" w:type="dxa"/>
            <w:shd w:val="clear" w:color="auto" w:fill="92D050"/>
          </w:tcPr>
          <w:p w:rsidR="0009206F" w:rsidRDefault="00E901E6" w:rsidP="007A2D0F">
            <w:pPr>
              <w:spacing w:line="276" w:lineRule="auto"/>
              <w:rPr>
                <w:rFonts w:ascii="Segoe UI" w:hAnsi="Segoe UI" w:cs="Segoe UI"/>
              </w:rPr>
            </w:pPr>
            <w:r>
              <w:rPr>
                <w:rFonts w:ascii="Segoe UI" w:hAnsi="Segoe UI" w:cs="Segoe UI"/>
              </w:rPr>
              <w:t>$2,290,299</w:t>
            </w:r>
          </w:p>
        </w:tc>
      </w:tr>
      <w:tr w:rsidR="0009206F" w:rsidTr="00E901E6">
        <w:tc>
          <w:tcPr>
            <w:tcW w:w="1870" w:type="dxa"/>
            <w:shd w:val="clear" w:color="auto" w:fill="92D050"/>
          </w:tcPr>
          <w:p w:rsidR="0009206F" w:rsidRDefault="00E901E6" w:rsidP="007A2D0F">
            <w:pPr>
              <w:spacing w:line="276" w:lineRule="auto"/>
              <w:rPr>
                <w:rFonts w:ascii="Segoe UI" w:hAnsi="Segoe UI" w:cs="Segoe UI"/>
              </w:rPr>
            </w:pPr>
            <w:r>
              <w:rPr>
                <w:rFonts w:ascii="Segoe UI" w:hAnsi="Segoe UI" w:cs="Segoe UI"/>
              </w:rPr>
              <w:t>Yours 110</w:t>
            </w:r>
          </w:p>
        </w:tc>
        <w:tc>
          <w:tcPr>
            <w:tcW w:w="1870" w:type="dxa"/>
          </w:tcPr>
          <w:p w:rsidR="0009206F" w:rsidRDefault="00E901E6" w:rsidP="007A2D0F">
            <w:pPr>
              <w:spacing w:line="276" w:lineRule="auto"/>
              <w:rPr>
                <w:rFonts w:ascii="Segoe UI" w:hAnsi="Segoe UI" w:cs="Segoe UI"/>
              </w:rPr>
            </w:pPr>
            <w:r>
              <w:rPr>
                <w:rFonts w:ascii="Segoe UI" w:hAnsi="Segoe UI" w:cs="Segoe UI"/>
              </w:rPr>
              <w:t>$5,000,000</w:t>
            </w:r>
          </w:p>
        </w:tc>
        <w:tc>
          <w:tcPr>
            <w:tcW w:w="1870" w:type="dxa"/>
          </w:tcPr>
          <w:p w:rsidR="0009206F" w:rsidRDefault="00E901E6" w:rsidP="007A2D0F">
            <w:pPr>
              <w:spacing w:line="276" w:lineRule="auto"/>
              <w:rPr>
                <w:rFonts w:ascii="Segoe UI" w:hAnsi="Segoe UI" w:cs="Segoe UI"/>
              </w:rPr>
            </w:pPr>
            <w:r>
              <w:rPr>
                <w:rFonts w:ascii="Segoe UI" w:hAnsi="Segoe UI" w:cs="Segoe UI"/>
              </w:rPr>
              <w:t>$110</w:t>
            </w:r>
          </w:p>
        </w:tc>
        <w:tc>
          <w:tcPr>
            <w:tcW w:w="1870" w:type="dxa"/>
          </w:tcPr>
          <w:p w:rsidR="0009206F" w:rsidRDefault="00E901E6" w:rsidP="007A2D0F">
            <w:pPr>
              <w:spacing w:line="276" w:lineRule="auto"/>
              <w:rPr>
                <w:rFonts w:ascii="Segoe UI" w:hAnsi="Segoe UI" w:cs="Segoe UI"/>
              </w:rPr>
            </w:pPr>
            <w:r>
              <w:rPr>
                <w:rFonts w:ascii="Segoe UI" w:hAnsi="Segoe UI" w:cs="Segoe UI"/>
              </w:rPr>
              <w:t>4%</w:t>
            </w:r>
          </w:p>
        </w:tc>
        <w:tc>
          <w:tcPr>
            <w:tcW w:w="1870" w:type="dxa"/>
            <w:shd w:val="clear" w:color="auto" w:fill="92D050"/>
          </w:tcPr>
          <w:p w:rsidR="0009206F" w:rsidRDefault="00E901E6" w:rsidP="007A2D0F">
            <w:pPr>
              <w:spacing w:line="276" w:lineRule="auto"/>
              <w:rPr>
                <w:rFonts w:ascii="Segoe UI" w:hAnsi="Segoe UI" w:cs="Segoe UI"/>
              </w:rPr>
            </w:pPr>
            <w:r>
              <w:rPr>
                <w:rFonts w:ascii="Segoe UI" w:hAnsi="Segoe UI" w:cs="Segoe UI"/>
              </w:rPr>
              <w:t>$4,939,339</w:t>
            </w:r>
          </w:p>
        </w:tc>
      </w:tr>
    </w:tbl>
    <w:p w:rsidR="0009206F" w:rsidRDefault="00E901E6" w:rsidP="007A2D0F">
      <w:pPr>
        <w:spacing w:line="276" w:lineRule="auto"/>
        <w:ind w:firstLine="360"/>
        <w:rPr>
          <w:rFonts w:ascii="Segoe UI" w:hAnsi="Segoe UI" w:cs="Segoe UI"/>
          <w:sz w:val="16"/>
          <w:szCs w:val="16"/>
        </w:rPr>
      </w:pPr>
      <w:r w:rsidRPr="00E901E6">
        <w:rPr>
          <w:rFonts w:ascii="Segoe UI" w:hAnsi="Segoe UI" w:cs="Segoe UI"/>
          <w:sz w:val="16"/>
          <w:szCs w:val="16"/>
        </w:rPr>
        <w:t>Note: Negative monetary values are enclosed in parentheses. Yellow shading denotes a “break-even proposition”, while green shading represents a good investment</w:t>
      </w:r>
      <w:r>
        <w:rPr>
          <w:rFonts w:ascii="Segoe UI" w:hAnsi="Segoe UI" w:cs="Segoe UI"/>
          <w:sz w:val="16"/>
          <w:szCs w:val="16"/>
        </w:rPr>
        <w:t>.</w:t>
      </w:r>
    </w:p>
    <w:p w:rsidR="00E901E6" w:rsidRDefault="00403700" w:rsidP="007A2D0F">
      <w:pPr>
        <w:spacing w:line="276" w:lineRule="auto"/>
        <w:ind w:firstLine="360"/>
        <w:rPr>
          <w:rFonts w:ascii="Segoe UI" w:hAnsi="Segoe UI" w:cs="Segoe UI"/>
        </w:rPr>
      </w:pPr>
      <w:r>
        <w:rPr>
          <w:rFonts w:ascii="Segoe UI" w:hAnsi="Segoe UI" w:cs="Segoe UI"/>
        </w:rPr>
        <w:t xml:space="preserve">It is important to note that a rising trend in oil prices dictates higher potential profit (or fewer total losses), and that the only scenarios that represent good potential investments have oil prices of $90 or more per barrel. Before the investor makes his final decision, he should consider the current state of the global economy, and the market on oil. Oil prices today are lower than they have been in a decade or more. A barrel of oil today costs about $50. If the wealthy investor were to pursue a venture in today’s oil market, he would likely face the results as seen in scenarios 1 or 5, depending on the deal that is struck with the Texas oilman. </w:t>
      </w:r>
    </w:p>
    <w:p w:rsidR="00403700" w:rsidRPr="00E901E6" w:rsidRDefault="00403700" w:rsidP="007A2D0F">
      <w:pPr>
        <w:spacing w:line="276" w:lineRule="auto"/>
        <w:ind w:firstLine="360"/>
        <w:rPr>
          <w:rFonts w:ascii="Segoe UI" w:hAnsi="Segoe UI" w:cs="Segoe UI"/>
        </w:rPr>
      </w:pPr>
      <w:r>
        <w:rPr>
          <w:rFonts w:ascii="Segoe UI" w:hAnsi="Segoe UI" w:cs="Segoe UI"/>
        </w:rPr>
        <w:t xml:space="preserve">Based on our team’s </w:t>
      </w:r>
      <w:r w:rsidR="00603A71">
        <w:rPr>
          <w:rFonts w:ascii="Segoe UI" w:hAnsi="Segoe UI" w:cs="Segoe UI"/>
        </w:rPr>
        <w:t>results</w:t>
      </w:r>
      <w:r>
        <w:rPr>
          <w:rFonts w:ascii="Segoe UI" w:hAnsi="Segoe UI" w:cs="Segoe UI"/>
        </w:rPr>
        <w:t xml:space="preserve">, in most cases, the investor would not be getting a good deal by striking an investment with the Texas oilman. </w:t>
      </w:r>
      <w:r w:rsidR="00603A71">
        <w:rPr>
          <w:rFonts w:ascii="Segoe UI" w:hAnsi="Segoe UI" w:cs="Segoe UI"/>
        </w:rPr>
        <w:t xml:space="preserve">Unless there is a dramatic rise in the cost of oil, the investor is better off staying away from the market. Currently, the market is not doing well, and entry into said market would not be a smart financial move. There is currently little to gain, and a lot to lose, given the high barriers to entry due to the cost of running an oil operation. If the cost of oil were to rise to nearly double its current price or more, the investor would profit the most by investing as little as possible. In this case, that would involve the Texas oilman agreeing to the current counteroffer of $5,000,000. Agreeing to the oilman’s initial request of 10,000,000 would amount to breaking even at best, even with high oil prices. If the investor is unable to sway the oilman to negotiate, his investment dollars would be better spent elsewhere. </w:t>
      </w:r>
    </w:p>
    <w:p w:rsidR="00E901E6" w:rsidRPr="00E901E6" w:rsidRDefault="00E901E6" w:rsidP="007A2D0F">
      <w:pPr>
        <w:spacing w:line="276" w:lineRule="auto"/>
        <w:ind w:firstLine="360"/>
        <w:rPr>
          <w:rFonts w:ascii="Segoe UI" w:hAnsi="Segoe UI" w:cs="Segoe UI"/>
        </w:rPr>
      </w:pPr>
    </w:p>
    <w:p w:rsidR="00E901E6" w:rsidRPr="00E901E6" w:rsidRDefault="00E901E6" w:rsidP="007A2D0F">
      <w:pPr>
        <w:spacing w:line="276" w:lineRule="auto"/>
        <w:ind w:firstLine="360"/>
        <w:rPr>
          <w:rFonts w:ascii="Segoe UI" w:hAnsi="Segoe UI" w:cs="Segoe UI"/>
        </w:rPr>
      </w:pPr>
    </w:p>
    <w:p w:rsidR="009C5DD1" w:rsidRDefault="009C5DD1" w:rsidP="00C14CBB">
      <w:bookmarkStart w:id="0" w:name="_GoBack"/>
      <w:bookmarkEnd w:id="0"/>
    </w:p>
    <w:sectPr w:rsidR="009C5DD1" w:rsidSect="007511E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C89" w:rsidRDefault="00064C89" w:rsidP="00F840D3">
      <w:pPr>
        <w:spacing w:after="0" w:line="240" w:lineRule="auto"/>
      </w:pPr>
      <w:r>
        <w:separator/>
      </w:r>
    </w:p>
  </w:endnote>
  <w:endnote w:type="continuationSeparator" w:id="0">
    <w:p w:rsidR="00064C89" w:rsidRDefault="00064C89" w:rsidP="00F84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808275"/>
      <w:docPartObj>
        <w:docPartGallery w:val="Page Numbers (Bottom of Page)"/>
        <w:docPartUnique/>
      </w:docPartObj>
    </w:sdtPr>
    <w:sdtEndPr/>
    <w:sdtContent>
      <w:sdt>
        <w:sdtPr>
          <w:id w:val="1728636285"/>
          <w:docPartObj>
            <w:docPartGallery w:val="Page Numbers (Top of Page)"/>
            <w:docPartUnique/>
          </w:docPartObj>
        </w:sdtPr>
        <w:sdtEndPr/>
        <w:sdtContent>
          <w:p w:rsidR="00E901E6" w:rsidRDefault="00E901E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14CB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4CBB">
              <w:rPr>
                <w:b/>
                <w:bCs/>
                <w:noProof/>
              </w:rPr>
              <w:t>2</w:t>
            </w:r>
            <w:r>
              <w:rPr>
                <w:b/>
                <w:bCs/>
                <w:sz w:val="24"/>
                <w:szCs w:val="24"/>
              </w:rPr>
              <w:fldChar w:fldCharType="end"/>
            </w:r>
          </w:p>
        </w:sdtContent>
      </w:sdt>
    </w:sdtContent>
  </w:sdt>
  <w:p w:rsidR="00E901E6" w:rsidRDefault="00E9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C89" w:rsidRDefault="00064C89" w:rsidP="00F840D3">
      <w:pPr>
        <w:spacing w:after="0" w:line="240" w:lineRule="auto"/>
      </w:pPr>
      <w:r>
        <w:separator/>
      </w:r>
    </w:p>
  </w:footnote>
  <w:footnote w:type="continuationSeparator" w:id="0">
    <w:p w:rsidR="00064C89" w:rsidRDefault="00064C89" w:rsidP="00F84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1E6" w:rsidRDefault="00E901E6">
    <w:pPr>
      <w:pStyle w:val="Header"/>
    </w:pPr>
    <w:r>
      <w:t>CIS300-18</w:t>
    </w:r>
    <w:r>
      <w:ptab w:relativeTo="margin" w:alignment="center" w:leader="none"/>
    </w:r>
    <w:r>
      <w:t>Case 07: The Fracking Oil Investment Decision</w:t>
    </w:r>
    <w:r>
      <w:ptab w:relativeTo="margin" w:alignment="right" w:leader="none"/>
    </w:r>
    <w: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94A71"/>
    <w:multiLevelType w:val="hybridMultilevel"/>
    <w:tmpl w:val="4A02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64"/>
    <w:rsid w:val="00064C89"/>
    <w:rsid w:val="0009206F"/>
    <w:rsid w:val="0013257C"/>
    <w:rsid w:val="00403700"/>
    <w:rsid w:val="005F379B"/>
    <w:rsid w:val="00603A71"/>
    <w:rsid w:val="007511E3"/>
    <w:rsid w:val="007A2D0F"/>
    <w:rsid w:val="009C5DD1"/>
    <w:rsid w:val="00C14CBB"/>
    <w:rsid w:val="00E85D64"/>
    <w:rsid w:val="00E901E6"/>
    <w:rsid w:val="00EB10FC"/>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4CF6E"/>
  <w15:chartTrackingRefBased/>
  <w15:docId w15:val="{F9EDC8F9-76A5-49EF-BA0F-E0808709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511E3"/>
    <w:pPr>
      <w:spacing w:after="0" w:line="240" w:lineRule="auto"/>
    </w:pPr>
    <w:rPr>
      <w:rFonts w:eastAsiaTheme="minorEastAsia"/>
    </w:rPr>
  </w:style>
  <w:style w:type="character" w:customStyle="1" w:styleId="NoSpacingChar">
    <w:name w:val="No Spacing Char"/>
    <w:basedOn w:val="DefaultParagraphFont"/>
    <w:link w:val="NoSpacing"/>
    <w:uiPriority w:val="1"/>
    <w:rsid w:val="007511E3"/>
    <w:rPr>
      <w:rFonts w:eastAsiaTheme="minorEastAsia"/>
    </w:rPr>
  </w:style>
  <w:style w:type="paragraph" w:styleId="ListParagraph">
    <w:name w:val="List Paragraph"/>
    <w:basedOn w:val="Normal"/>
    <w:uiPriority w:val="34"/>
    <w:qFormat/>
    <w:rsid w:val="00EB10FC"/>
    <w:pPr>
      <w:ind w:left="720"/>
      <w:contextualSpacing/>
    </w:pPr>
  </w:style>
  <w:style w:type="paragraph" w:styleId="Header">
    <w:name w:val="header"/>
    <w:basedOn w:val="Normal"/>
    <w:link w:val="HeaderChar"/>
    <w:uiPriority w:val="99"/>
    <w:unhideWhenUsed/>
    <w:rsid w:val="00F84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0D3"/>
  </w:style>
  <w:style w:type="paragraph" w:styleId="Footer">
    <w:name w:val="footer"/>
    <w:basedOn w:val="Normal"/>
    <w:link w:val="FooterChar"/>
    <w:uiPriority w:val="99"/>
    <w:unhideWhenUsed/>
    <w:rsid w:val="00F84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5BF45-54EA-4D4C-8971-0567096E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Case 07:</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07:</dc:title>
  <dc:subject>The Fracking Oil Investment Decision</dc:subject>
  <dc:creator>Admin</dc:creator>
  <cp:keywords/>
  <dc:description/>
  <cp:lastModifiedBy>Jessica Hoffman</cp:lastModifiedBy>
  <cp:revision>3</cp:revision>
  <dcterms:created xsi:type="dcterms:W3CDTF">2016-11-22T17:55:00Z</dcterms:created>
  <dcterms:modified xsi:type="dcterms:W3CDTF">2016-11-22T21:45:00Z</dcterms:modified>
</cp:coreProperties>
</file>