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1ht2nskhtp5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: LakeBathymetry.csv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Lake bathymetry measurements obtained from BC databases using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iMapBC</w:t>
        </w:r>
      </w:hyperlink>
      <w:r w:rsidDel="00000000" w:rsidR="00000000" w:rsidRPr="00000000">
        <w:rPr>
          <w:sz w:val="24"/>
          <w:szCs w:val="24"/>
          <w:rtl w:val="0"/>
        </w:rPr>
        <w:t xml:space="preserve"> and bathymetric lake layers ‘Lake Bathymetric Maps,’ ‘Digital Bathymetric Maps,’ ‘Bathymetric - 7.5M,’ and ‘Lake Fisheries Inventories Surveys’ onto the base map. 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Path</w:t>
      </w:r>
      <w:r w:rsidDel="00000000" w:rsidR="00000000" w:rsidRPr="00000000">
        <w:rPr>
          <w:sz w:val="24"/>
          <w:szCs w:val="24"/>
          <w:rtl w:val="0"/>
        </w:rPr>
        <w:t xml:space="preserve">: EEID -&gt; data -&gt; Sonde Data -&gt; 01_OriginalDataset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 Description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00000000002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05"/>
        <w:gridCol w:w="5995.000000000001"/>
        <w:tblGridChange w:id="0">
          <w:tblGrid>
            <w:gridCol w:w="3605"/>
            <w:gridCol w:w="5995.00000000000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Three letter lake code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name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Elevation_m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elevation in meters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Surface_Area_ha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 area of a given lake in hectare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Perimeter_m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perimeter in meters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MaxDepth_m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depth of lake in meters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MeanDepth_m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 depth of lake in meters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Littoral_Area_ha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of lake littoral zone in hectares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TDS_surface_ppm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dissolved solids in parts per million at lake </w:t>
            </w:r>
          </w:p>
          <w:p w:rsidR="00000000" w:rsidDel="00000000" w:rsidP="00000000" w:rsidRDefault="00000000" w:rsidRPr="00000000" w14:paraId="0000001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TDS_deep_ppm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dissolved solids in parts per million in lake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Depth_Ratio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 depth / Maximum depth of lake; indicative of </w:t>
            </w:r>
          </w:p>
          <w:p w:rsidR="00000000" w:rsidDel="00000000" w:rsidP="00000000" w:rsidRDefault="00000000" w:rsidRPr="00000000" w14:paraId="0000002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basin shape (U vs V) 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gov.bc.ca/ess/hm/imap4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